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4E6C2" w14:textId="13130C41" w:rsidR="00492DF5" w:rsidRPr="00BA4A8A" w:rsidRDefault="00FB6D1E" w:rsidP="00FB6D1E">
      <w:pPr>
        <w:jc w:val="center"/>
        <w:rPr>
          <w:rFonts w:ascii="Times New Roman" w:hAnsi="Times New Roman" w:cs="Times New Roman"/>
          <w:sz w:val="24"/>
          <w:szCs w:val="24"/>
        </w:rPr>
      </w:pPr>
      <w:r>
        <w:rPr>
          <w:rFonts w:ascii="Times New Roman" w:hAnsi="Times New Roman"/>
          <w:noProof/>
          <w:sz w:val="24"/>
        </w:rPr>
        <w:drawing>
          <wp:inline distT="0" distB="0" distL="0" distR="0" wp14:anchorId="5CC9D328" wp14:editId="465A808D">
            <wp:extent cx="2876550" cy="989330"/>
            <wp:effectExtent l="0" t="0" r="0" b="1270"/>
            <wp:docPr id="1" name="Pilt 1"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10;&#10;Kirjeldus on genereeritud automaatsel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989330"/>
                    </a:xfrm>
                    <a:prstGeom prst="rect">
                      <a:avLst/>
                    </a:prstGeom>
                    <a:noFill/>
                    <a:ln>
                      <a:noFill/>
                    </a:ln>
                  </pic:spPr>
                </pic:pic>
              </a:graphicData>
            </a:graphic>
          </wp:inline>
        </w:drawing>
      </w:r>
    </w:p>
    <w:p w14:paraId="56693DB0" w14:textId="77777777" w:rsidR="00FB6D1E" w:rsidRPr="00B12B13" w:rsidRDefault="00FB6D1E" w:rsidP="00FB6D1E">
      <w:pPr>
        <w:jc w:val="center"/>
        <w:rPr>
          <w:rFonts w:ascii="Cambria" w:hAnsi="Cambria" w:cs="Times New Roman"/>
          <w:b/>
          <w:bCs/>
          <w:sz w:val="24"/>
          <w:szCs w:val="24"/>
          <w:lang w:val="en-GB"/>
        </w:rPr>
      </w:pPr>
    </w:p>
    <w:p w14:paraId="62CC8B00" w14:textId="4144A381" w:rsidR="00FB6D1E" w:rsidRPr="00B12B13" w:rsidRDefault="00FB6D1E" w:rsidP="0066690A">
      <w:pPr>
        <w:spacing w:line="276" w:lineRule="auto"/>
        <w:jc w:val="center"/>
        <w:rPr>
          <w:rFonts w:ascii="Cambria" w:hAnsi="Cambria" w:cs="Times New Roman"/>
          <w:b/>
          <w:bCs/>
          <w:sz w:val="24"/>
          <w:szCs w:val="24"/>
        </w:rPr>
      </w:pPr>
      <w:r w:rsidRPr="00B12B13">
        <w:rPr>
          <w:rFonts w:ascii="Cambria" w:hAnsi="Cambria"/>
          <w:b/>
          <w:sz w:val="24"/>
        </w:rPr>
        <w:t>LE RÉSEAU DES PRÉSIDENTS DES COURS SUPRÊMES JUDICIAIRES DES ÉTATS MEMBRES DE L</w:t>
      </w:r>
      <w:r w:rsidR="002E61E0" w:rsidRPr="00B12B13">
        <w:rPr>
          <w:rFonts w:ascii="Cambria" w:hAnsi="Cambria"/>
          <w:b/>
          <w:sz w:val="24"/>
        </w:rPr>
        <w:t>’</w:t>
      </w:r>
      <w:r w:rsidRPr="00B12B13">
        <w:rPr>
          <w:rFonts w:ascii="Cambria" w:hAnsi="Cambria"/>
          <w:b/>
          <w:sz w:val="24"/>
        </w:rPr>
        <w:t>UNION EUROPÉENNE</w:t>
      </w:r>
    </w:p>
    <w:p w14:paraId="50E0376D" w14:textId="01415ED0" w:rsidR="007F7305" w:rsidRPr="00B12B13" w:rsidRDefault="00FB6D1E" w:rsidP="0066690A">
      <w:pPr>
        <w:spacing w:line="276" w:lineRule="auto"/>
        <w:jc w:val="center"/>
        <w:rPr>
          <w:rFonts w:ascii="Cambria" w:hAnsi="Cambria" w:cs="Times New Roman"/>
          <w:b/>
          <w:bCs/>
          <w:sz w:val="24"/>
          <w:szCs w:val="24"/>
        </w:rPr>
      </w:pPr>
      <w:r w:rsidRPr="00B12B13">
        <w:rPr>
          <w:rFonts w:ascii="Cambria" w:hAnsi="Cambria"/>
          <w:b/>
          <w:sz w:val="24"/>
        </w:rPr>
        <w:t>RÉUNION CONJOINTE AVEC LA COUR DE JUSTICE DE L</w:t>
      </w:r>
      <w:r w:rsidR="002E61E0" w:rsidRPr="00B12B13">
        <w:rPr>
          <w:rFonts w:ascii="Cambria" w:hAnsi="Cambria"/>
          <w:b/>
          <w:sz w:val="24"/>
        </w:rPr>
        <w:t>’</w:t>
      </w:r>
      <w:r w:rsidRPr="00B12B13">
        <w:rPr>
          <w:rFonts w:ascii="Cambria" w:hAnsi="Cambria"/>
          <w:b/>
          <w:sz w:val="24"/>
        </w:rPr>
        <w:t xml:space="preserve">UNION EUROPÉENNE </w:t>
      </w:r>
    </w:p>
    <w:p w14:paraId="1193E93D" w14:textId="20FACEE7" w:rsidR="00FB6D1E" w:rsidRPr="00B12B13" w:rsidRDefault="00FB6D1E" w:rsidP="0066690A">
      <w:pPr>
        <w:spacing w:line="276" w:lineRule="auto"/>
        <w:jc w:val="center"/>
        <w:rPr>
          <w:rFonts w:ascii="Cambria" w:eastAsia="Dotum" w:hAnsi="Cambria" w:cs="Times New Roman"/>
          <w:b/>
          <w:bCs/>
          <w:sz w:val="24"/>
          <w:szCs w:val="24"/>
        </w:rPr>
      </w:pPr>
      <w:r w:rsidRPr="00B12B13">
        <w:rPr>
          <w:rFonts w:ascii="Cambria" w:hAnsi="Cambria"/>
          <w:b/>
          <w:sz w:val="24"/>
        </w:rPr>
        <w:t>28 MARS 2025</w:t>
      </w:r>
    </w:p>
    <w:p w14:paraId="366377E1" w14:textId="44BB43B0" w:rsidR="007F7305" w:rsidRPr="00B12B13" w:rsidRDefault="00FB6D1E" w:rsidP="0066690A">
      <w:pPr>
        <w:spacing w:line="276" w:lineRule="auto"/>
        <w:jc w:val="center"/>
        <w:rPr>
          <w:rFonts w:ascii="Cambria" w:eastAsia="Dotum" w:hAnsi="Cambria" w:cs="Times New Roman"/>
          <w:b/>
          <w:bCs/>
          <w:sz w:val="24"/>
          <w:szCs w:val="24"/>
        </w:rPr>
      </w:pPr>
      <w:r w:rsidRPr="00B12B13">
        <w:rPr>
          <w:rFonts w:ascii="Cambria" w:hAnsi="Cambria"/>
          <w:b/>
          <w:sz w:val="24"/>
        </w:rPr>
        <w:t>LUXEMBOURG</w:t>
      </w:r>
    </w:p>
    <w:p w14:paraId="5BB7B95D" w14:textId="5E413D43" w:rsidR="00FB6D1E" w:rsidRPr="00B12B13" w:rsidRDefault="00FB6D1E" w:rsidP="0066690A">
      <w:pPr>
        <w:spacing w:line="276" w:lineRule="auto"/>
        <w:jc w:val="center"/>
        <w:rPr>
          <w:rFonts w:ascii="Cambria" w:eastAsia="Times New Roman" w:hAnsi="Cambria" w:cs="Times New Roman"/>
          <w:b/>
          <w:bCs/>
          <w:sz w:val="24"/>
          <w:szCs w:val="24"/>
        </w:rPr>
      </w:pPr>
      <w:r w:rsidRPr="00B12B13">
        <w:rPr>
          <w:rFonts w:ascii="Cambria" w:hAnsi="Cambria"/>
          <w:b/>
          <w:sz w:val="24"/>
        </w:rPr>
        <w:t>Thème 1 : « L</w:t>
      </w:r>
      <w:r w:rsidR="002E61E0" w:rsidRPr="00B12B13">
        <w:rPr>
          <w:rFonts w:ascii="Cambria" w:hAnsi="Cambria"/>
          <w:b/>
          <w:sz w:val="24"/>
        </w:rPr>
        <w:t>’</w:t>
      </w:r>
      <w:r w:rsidRPr="00B12B13">
        <w:rPr>
          <w:rFonts w:ascii="Cambria" w:hAnsi="Cambria"/>
          <w:b/>
          <w:sz w:val="24"/>
        </w:rPr>
        <w:t>indépendance de la justice au sein de l</w:t>
      </w:r>
      <w:r w:rsidR="002E61E0" w:rsidRPr="00B12B13">
        <w:rPr>
          <w:rFonts w:ascii="Cambria" w:hAnsi="Cambria"/>
          <w:b/>
          <w:sz w:val="24"/>
        </w:rPr>
        <w:t>’</w:t>
      </w:r>
      <w:r w:rsidRPr="00B12B13">
        <w:rPr>
          <w:rFonts w:ascii="Cambria" w:hAnsi="Cambria"/>
          <w:b/>
          <w:sz w:val="24"/>
        </w:rPr>
        <w:t>Union européenne : une responsabilité partagée »</w:t>
      </w:r>
    </w:p>
    <w:p w14:paraId="45AE6602" w14:textId="77777777" w:rsidR="005A0233" w:rsidRPr="00B12B13" w:rsidRDefault="005A0233" w:rsidP="0066690A">
      <w:pPr>
        <w:spacing w:line="276" w:lineRule="auto"/>
        <w:jc w:val="center"/>
        <w:rPr>
          <w:rFonts w:ascii="Cambria" w:hAnsi="Cambria" w:cs="Times New Roman"/>
          <w:b/>
          <w:bCs/>
          <w:sz w:val="24"/>
          <w:szCs w:val="24"/>
        </w:rPr>
      </w:pPr>
    </w:p>
    <w:p w14:paraId="21184A27" w14:textId="13F55444" w:rsidR="00FB6D1E" w:rsidRPr="00B12B13" w:rsidRDefault="00FB6D1E" w:rsidP="0066690A">
      <w:pPr>
        <w:spacing w:line="276" w:lineRule="auto"/>
        <w:jc w:val="center"/>
        <w:rPr>
          <w:rFonts w:ascii="Cambria" w:hAnsi="Cambria" w:cs="Times New Roman"/>
          <w:b/>
          <w:bCs/>
          <w:sz w:val="24"/>
          <w:szCs w:val="24"/>
        </w:rPr>
      </w:pPr>
      <w:r w:rsidRPr="00B12B13">
        <w:rPr>
          <w:rFonts w:ascii="Cambria" w:hAnsi="Cambria"/>
          <w:b/>
          <w:sz w:val="24"/>
        </w:rPr>
        <w:t>QUESTIONNAIRE</w:t>
      </w:r>
    </w:p>
    <w:p w14:paraId="355F6AFF" w14:textId="77777777" w:rsidR="007F7305" w:rsidRPr="00BA4A8A" w:rsidRDefault="007F7305" w:rsidP="00FB7BD2">
      <w:pPr>
        <w:pStyle w:val="NoSpacing"/>
        <w:rPr>
          <w:rFonts w:ascii="Times New Roman" w:hAnsi="Times New Roman" w:cs="Times New Roman"/>
          <w:sz w:val="24"/>
          <w:szCs w:val="24"/>
        </w:rPr>
      </w:pPr>
    </w:p>
    <w:p w14:paraId="7A13EE3C" w14:textId="62EC5568" w:rsidR="0066690A" w:rsidRPr="00BA4A8A" w:rsidRDefault="0066690A" w:rsidP="00556DCE">
      <w:pPr>
        <w:pStyle w:val="ListParagraph"/>
        <w:numPr>
          <w:ilvl w:val="0"/>
          <w:numId w:val="1"/>
        </w:numPr>
        <w:spacing w:line="480" w:lineRule="auto"/>
        <w:jc w:val="both"/>
        <w:rPr>
          <w:rFonts w:ascii="Times New Roman" w:hAnsi="Times New Roman" w:cs="Times New Roman"/>
          <w:b/>
          <w:bCs/>
          <w:i/>
          <w:iCs/>
          <w:sz w:val="24"/>
          <w:szCs w:val="24"/>
        </w:rPr>
      </w:pPr>
      <w:r>
        <w:rPr>
          <w:rFonts w:ascii="Times New Roman" w:hAnsi="Times New Roman"/>
          <w:b/>
          <w:i/>
          <w:sz w:val="24"/>
        </w:rPr>
        <w:t>Introduction</w:t>
      </w:r>
    </w:p>
    <w:p w14:paraId="7C51EEF6" w14:textId="0F5F1156" w:rsidR="00A00F9B" w:rsidRPr="00BA4A8A" w:rsidRDefault="00D01CEE" w:rsidP="00A00F9B">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sz w:val="24"/>
        </w:rPr>
        <w:t>Le respect de l</w:t>
      </w:r>
      <w:r w:rsidR="002E61E0">
        <w:rPr>
          <w:rFonts w:ascii="Times New Roman" w:hAnsi="Times New Roman"/>
          <w:sz w:val="24"/>
        </w:rPr>
        <w:t>’</w:t>
      </w:r>
      <w:r>
        <w:rPr>
          <w:rFonts w:ascii="Times New Roman" w:hAnsi="Times New Roman"/>
          <w:sz w:val="24"/>
        </w:rPr>
        <w:t>État de droit est l</w:t>
      </w:r>
      <w:r w:rsidR="002E61E0">
        <w:rPr>
          <w:rFonts w:ascii="Times New Roman" w:hAnsi="Times New Roman"/>
          <w:sz w:val="24"/>
        </w:rPr>
        <w:t>’</w:t>
      </w:r>
      <w:r>
        <w:rPr>
          <w:rFonts w:ascii="Times New Roman" w:hAnsi="Times New Roman"/>
          <w:sz w:val="24"/>
        </w:rPr>
        <w:t>une des valeurs communes consacrées à l</w:t>
      </w:r>
      <w:r w:rsidR="002E61E0">
        <w:rPr>
          <w:rFonts w:ascii="Times New Roman" w:hAnsi="Times New Roman"/>
          <w:sz w:val="24"/>
        </w:rPr>
        <w:t>’</w:t>
      </w:r>
      <w:r>
        <w:rPr>
          <w:rFonts w:ascii="Times New Roman" w:hAnsi="Times New Roman"/>
          <w:sz w:val="24"/>
        </w:rPr>
        <w:t>article 2 TUE. L</w:t>
      </w:r>
      <w:r w:rsidR="002E61E0">
        <w:rPr>
          <w:rFonts w:ascii="Times New Roman" w:hAnsi="Times New Roman"/>
          <w:sz w:val="24"/>
        </w:rPr>
        <w:t>’</w:t>
      </w:r>
      <w:r>
        <w:rPr>
          <w:rFonts w:ascii="Times New Roman" w:hAnsi="Times New Roman"/>
          <w:sz w:val="24"/>
        </w:rPr>
        <w:t>accès à la justice, assuré par des juridictions indépendantes et impartiales, constitue un élément fondamental de l</w:t>
      </w:r>
      <w:r w:rsidR="002E61E0">
        <w:rPr>
          <w:rFonts w:ascii="Times New Roman" w:hAnsi="Times New Roman"/>
          <w:sz w:val="24"/>
        </w:rPr>
        <w:t>’</w:t>
      </w:r>
      <w:r>
        <w:rPr>
          <w:rFonts w:ascii="Times New Roman" w:hAnsi="Times New Roman"/>
          <w:sz w:val="24"/>
        </w:rPr>
        <w:t>État de droit. Il appartient à chaque État membre de faire respecter l</w:t>
      </w:r>
      <w:r w:rsidR="002E61E0">
        <w:rPr>
          <w:rFonts w:ascii="Times New Roman" w:hAnsi="Times New Roman"/>
          <w:sz w:val="24"/>
        </w:rPr>
        <w:t>’</w:t>
      </w:r>
      <w:r>
        <w:rPr>
          <w:rFonts w:ascii="Times New Roman" w:hAnsi="Times New Roman"/>
          <w:sz w:val="24"/>
        </w:rPr>
        <w:t xml:space="preserve">État de droit dans tous les États membres, </w:t>
      </w:r>
      <w:r w:rsidR="002E61E0">
        <w:rPr>
          <w:rFonts w:ascii="Times New Roman" w:hAnsi="Times New Roman"/>
          <w:sz w:val="24"/>
        </w:rPr>
        <w:t>puisque</w:t>
      </w:r>
      <w:r>
        <w:rPr>
          <w:rFonts w:ascii="Times New Roman" w:hAnsi="Times New Roman"/>
          <w:sz w:val="24"/>
        </w:rPr>
        <w:t xml:space="preserve"> cela est nécessaire à l</w:t>
      </w:r>
      <w:r w:rsidR="002E61E0">
        <w:rPr>
          <w:rFonts w:ascii="Times New Roman" w:hAnsi="Times New Roman"/>
          <w:sz w:val="24"/>
        </w:rPr>
        <w:t>’</w:t>
      </w:r>
      <w:r>
        <w:rPr>
          <w:rFonts w:ascii="Times New Roman" w:hAnsi="Times New Roman"/>
          <w:sz w:val="24"/>
        </w:rPr>
        <w:t>application effective du droit de l</w:t>
      </w:r>
      <w:r w:rsidR="002E61E0">
        <w:rPr>
          <w:rFonts w:ascii="Times New Roman" w:hAnsi="Times New Roman"/>
          <w:sz w:val="24"/>
        </w:rPr>
        <w:t>’</w:t>
      </w:r>
      <w:r>
        <w:rPr>
          <w:rFonts w:ascii="Times New Roman" w:hAnsi="Times New Roman"/>
          <w:sz w:val="24"/>
        </w:rPr>
        <w:t>Union, à la confiance mutuelle entre les États membres, au fonctionnement de l</w:t>
      </w:r>
      <w:r w:rsidR="002E61E0">
        <w:rPr>
          <w:rFonts w:ascii="Times New Roman" w:hAnsi="Times New Roman"/>
          <w:sz w:val="24"/>
        </w:rPr>
        <w:t>’</w:t>
      </w:r>
      <w:r>
        <w:rPr>
          <w:rFonts w:ascii="Times New Roman" w:hAnsi="Times New Roman"/>
          <w:sz w:val="24"/>
        </w:rPr>
        <w:t>Union dans l</w:t>
      </w:r>
      <w:r w:rsidR="002E61E0">
        <w:rPr>
          <w:rFonts w:ascii="Times New Roman" w:hAnsi="Times New Roman"/>
          <w:sz w:val="24"/>
        </w:rPr>
        <w:t>’</w:t>
      </w:r>
      <w:r>
        <w:rPr>
          <w:rFonts w:ascii="Times New Roman" w:hAnsi="Times New Roman"/>
          <w:sz w:val="24"/>
        </w:rPr>
        <w:t>espace de liberté, de sécurité et de justice, ainsi qu</w:t>
      </w:r>
      <w:r w:rsidR="002E61E0">
        <w:rPr>
          <w:rFonts w:ascii="Times New Roman" w:hAnsi="Times New Roman"/>
          <w:sz w:val="24"/>
        </w:rPr>
        <w:t>’</w:t>
      </w:r>
      <w:r>
        <w:rPr>
          <w:rFonts w:ascii="Times New Roman" w:hAnsi="Times New Roman"/>
          <w:sz w:val="24"/>
        </w:rPr>
        <w:t>au marché intérieur. Les systèmes juridictionnels étant confrontés à des défis en mutation, qui vont de la sauvegarde de l</w:t>
      </w:r>
      <w:r w:rsidR="002E61E0">
        <w:rPr>
          <w:rFonts w:ascii="Times New Roman" w:hAnsi="Times New Roman"/>
          <w:sz w:val="24"/>
        </w:rPr>
        <w:t>’</w:t>
      </w:r>
      <w:r>
        <w:rPr>
          <w:rFonts w:ascii="Times New Roman" w:hAnsi="Times New Roman"/>
          <w:sz w:val="24"/>
        </w:rPr>
        <w:t>autonomie à la résolution des problèmes liés à la perception de la justice par le grand public, le maintien et le renforcement de l</w:t>
      </w:r>
      <w:r w:rsidR="002E61E0">
        <w:rPr>
          <w:rFonts w:ascii="Times New Roman" w:hAnsi="Times New Roman"/>
          <w:sz w:val="24"/>
        </w:rPr>
        <w:t>’</w:t>
      </w:r>
      <w:r>
        <w:rPr>
          <w:rFonts w:ascii="Times New Roman" w:hAnsi="Times New Roman"/>
          <w:sz w:val="24"/>
        </w:rPr>
        <w:t>indépendance judiciaire demeurent essentiels pour préserver les principes constitutionnels et l</w:t>
      </w:r>
      <w:r w:rsidR="002E61E0">
        <w:rPr>
          <w:rFonts w:ascii="Times New Roman" w:hAnsi="Times New Roman"/>
          <w:sz w:val="24"/>
        </w:rPr>
        <w:t>’</w:t>
      </w:r>
      <w:r>
        <w:rPr>
          <w:rFonts w:ascii="Times New Roman" w:hAnsi="Times New Roman"/>
          <w:sz w:val="24"/>
        </w:rPr>
        <w:t>intégrité de l</w:t>
      </w:r>
      <w:r w:rsidR="002E61E0">
        <w:rPr>
          <w:rFonts w:ascii="Times New Roman" w:hAnsi="Times New Roman"/>
          <w:sz w:val="24"/>
        </w:rPr>
        <w:t>’</w:t>
      </w:r>
      <w:r>
        <w:rPr>
          <w:rFonts w:ascii="Times New Roman" w:hAnsi="Times New Roman"/>
          <w:sz w:val="24"/>
        </w:rPr>
        <w:t>ordre juridique.</w:t>
      </w:r>
    </w:p>
    <w:p w14:paraId="1F488050" w14:textId="6E495BA9" w:rsidR="007901F7" w:rsidRPr="00BA4A8A" w:rsidRDefault="007901F7" w:rsidP="00613195">
      <w:pPr>
        <w:pStyle w:val="ListParagraph"/>
        <w:spacing w:line="240" w:lineRule="auto"/>
        <w:jc w:val="both"/>
        <w:rPr>
          <w:rFonts w:ascii="Times New Roman" w:hAnsi="Times New Roman" w:cs="Times New Roman"/>
          <w:sz w:val="24"/>
          <w:szCs w:val="24"/>
        </w:rPr>
      </w:pPr>
    </w:p>
    <w:p w14:paraId="3B6F3F99" w14:textId="77777777" w:rsidR="007901F7" w:rsidRPr="00BA4A8A" w:rsidRDefault="007901F7" w:rsidP="00613195">
      <w:pPr>
        <w:pStyle w:val="ListParagraph"/>
        <w:spacing w:line="240" w:lineRule="auto"/>
        <w:jc w:val="both"/>
        <w:rPr>
          <w:rFonts w:ascii="Times New Roman" w:hAnsi="Times New Roman" w:cs="Times New Roman"/>
          <w:sz w:val="24"/>
          <w:szCs w:val="24"/>
        </w:rPr>
      </w:pPr>
    </w:p>
    <w:p w14:paraId="1536AF40" w14:textId="305C3658" w:rsidR="007901F7" w:rsidRPr="00BA4A8A" w:rsidRDefault="007901F7" w:rsidP="005D3BEB">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sz w:val="24"/>
        </w:rPr>
        <w:t>Il incombe à la Commission européenne, en tant que gardienne des traités, de promouvoir et de défendre l</w:t>
      </w:r>
      <w:r w:rsidR="002E61E0">
        <w:rPr>
          <w:rFonts w:ascii="Times New Roman" w:hAnsi="Times New Roman"/>
          <w:sz w:val="24"/>
        </w:rPr>
        <w:t>’</w:t>
      </w:r>
      <w:r>
        <w:rPr>
          <w:rFonts w:ascii="Times New Roman" w:hAnsi="Times New Roman"/>
          <w:sz w:val="24"/>
        </w:rPr>
        <w:t>État de droit</w:t>
      </w:r>
      <w:r w:rsidR="002E61E0">
        <w:rPr>
          <w:rFonts w:ascii="Times New Roman" w:hAnsi="Times New Roman"/>
          <w:sz w:val="24"/>
        </w:rPr>
        <w:t>. P</w:t>
      </w:r>
      <w:r>
        <w:rPr>
          <w:rFonts w:ascii="Times New Roman" w:hAnsi="Times New Roman"/>
          <w:sz w:val="24"/>
        </w:rPr>
        <w:t>our ce faire, elle dispose d</w:t>
      </w:r>
      <w:r w:rsidR="002E61E0">
        <w:rPr>
          <w:rFonts w:ascii="Times New Roman" w:hAnsi="Times New Roman"/>
          <w:sz w:val="24"/>
        </w:rPr>
        <w:t>’</w:t>
      </w:r>
      <w:r>
        <w:rPr>
          <w:rFonts w:ascii="Times New Roman" w:hAnsi="Times New Roman"/>
          <w:sz w:val="24"/>
        </w:rPr>
        <w:t>une boîte à outils en matière d</w:t>
      </w:r>
      <w:r w:rsidR="002E61E0">
        <w:rPr>
          <w:rFonts w:ascii="Times New Roman" w:hAnsi="Times New Roman"/>
          <w:sz w:val="24"/>
        </w:rPr>
        <w:t>’</w:t>
      </w:r>
      <w:r>
        <w:rPr>
          <w:rFonts w:ascii="Times New Roman" w:hAnsi="Times New Roman"/>
          <w:sz w:val="24"/>
        </w:rPr>
        <w:t>État de droit qui comprend un certain nombre d</w:t>
      </w:r>
      <w:r w:rsidR="002E61E0">
        <w:rPr>
          <w:rFonts w:ascii="Times New Roman" w:hAnsi="Times New Roman"/>
          <w:sz w:val="24"/>
        </w:rPr>
        <w:t>’</w:t>
      </w:r>
      <w:r>
        <w:rPr>
          <w:rFonts w:ascii="Times New Roman" w:hAnsi="Times New Roman"/>
          <w:sz w:val="24"/>
        </w:rPr>
        <w:t>instruments visant à promouvoir l</w:t>
      </w:r>
      <w:r w:rsidR="002E61E0">
        <w:rPr>
          <w:rFonts w:ascii="Times New Roman" w:hAnsi="Times New Roman"/>
          <w:sz w:val="24"/>
        </w:rPr>
        <w:t>’</w:t>
      </w:r>
      <w:r>
        <w:rPr>
          <w:rFonts w:ascii="Times New Roman" w:hAnsi="Times New Roman"/>
          <w:sz w:val="24"/>
        </w:rPr>
        <w:t>État de droit et à prévenir les problèmes rencontrés. La Commission européenne a également à sa disposition d</w:t>
      </w:r>
      <w:r w:rsidR="002E61E0">
        <w:rPr>
          <w:rFonts w:ascii="Times New Roman" w:hAnsi="Times New Roman"/>
          <w:sz w:val="24"/>
        </w:rPr>
        <w:t>’</w:t>
      </w:r>
      <w:r>
        <w:rPr>
          <w:rFonts w:ascii="Times New Roman" w:hAnsi="Times New Roman"/>
          <w:sz w:val="24"/>
        </w:rPr>
        <w:t xml:space="preserve">autres instruments permettant de relever les </w:t>
      </w:r>
      <w:proofErr w:type="gramStart"/>
      <w:r>
        <w:rPr>
          <w:rFonts w:ascii="Times New Roman" w:hAnsi="Times New Roman"/>
          <w:sz w:val="24"/>
        </w:rPr>
        <w:t>défis</w:t>
      </w:r>
      <w:proofErr w:type="gramEnd"/>
      <w:r>
        <w:rPr>
          <w:rFonts w:ascii="Times New Roman" w:hAnsi="Times New Roman"/>
          <w:sz w:val="24"/>
        </w:rPr>
        <w:t xml:space="preserve"> qui se posent en matière d</w:t>
      </w:r>
      <w:r w:rsidR="002E61E0">
        <w:rPr>
          <w:rFonts w:ascii="Times New Roman" w:hAnsi="Times New Roman"/>
          <w:sz w:val="24"/>
        </w:rPr>
        <w:t>’</w:t>
      </w:r>
      <w:r>
        <w:rPr>
          <w:rFonts w:ascii="Times New Roman" w:hAnsi="Times New Roman"/>
          <w:sz w:val="24"/>
        </w:rPr>
        <w:t>État de droit, tels que la procédure prévue à l</w:t>
      </w:r>
      <w:r w:rsidR="002E61E0">
        <w:rPr>
          <w:rFonts w:ascii="Times New Roman" w:hAnsi="Times New Roman"/>
          <w:sz w:val="24"/>
        </w:rPr>
        <w:t>’</w:t>
      </w:r>
      <w:r>
        <w:rPr>
          <w:rFonts w:ascii="Times New Roman" w:hAnsi="Times New Roman"/>
          <w:sz w:val="24"/>
        </w:rPr>
        <w:t>article 7 TUE, qui peut conduire à la suspension des droits d</w:t>
      </w:r>
      <w:r w:rsidR="002E61E0">
        <w:rPr>
          <w:rFonts w:ascii="Times New Roman" w:hAnsi="Times New Roman"/>
          <w:sz w:val="24"/>
        </w:rPr>
        <w:t>’</w:t>
      </w:r>
      <w:r>
        <w:rPr>
          <w:rFonts w:ascii="Times New Roman" w:hAnsi="Times New Roman"/>
          <w:sz w:val="24"/>
        </w:rPr>
        <w:t>appartenance à l</w:t>
      </w:r>
      <w:r w:rsidR="002E61E0">
        <w:rPr>
          <w:rFonts w:ascii="Times New Roman" w:hAnsi="Times New Roman"/>
          <w:sz w:val="24"/>
        </w:rPr>
        <w:t>’</w:t>
      </w:r>
      <w:r>
        <w:rPr>
          <w:rFonts w:ascii="Times New Roman" w:hAnsi="Times New Roman"/>
          <w:sz w:val="24"/>
        </w:rPr>
        <w:t>Union en cas de violation grave et persistante des principes sur lesquels l</w:t>
      </w:r>
      <w:r w:rsidR="002E61E0">
        <w:rPr>
          <w:rFonts w:ascii="Times New Roman" w:hAnsi="Times New Roman"/>
          <w:sz w:val="24"/>
        </w:rPr>
        <w:t>’</w:t>
      </w:r>
      <w:r>
        <w:rPr>
          <w:rFonts w:ascii="Times New Roman" w:hAnsi="Times New Roman"/>
          <w:sz w:val="24"/>
        </w:rPr>
        <w:t>Union est fondée, ainsi que le cadre pour l</w:t>
      </w:r>
      <w:r w:rsidR="002E61E0">
        <w:rPr>
          <w:rFonts w:ascii="Times New Roman" w:hAnsi="Times New Roman"/>
          <w:sz w:val="24"/>
        </w:rPr>
        <w:t>’</w:t>
      </w:r>
      <w:r>
        <w:rPr>
          <w:rFonts w:ascii="Times New Roman" w:hAnsi="Times New Roman"/>
          <w:sz w:val="24"/>
        </w:rPr>
        <w:t>État de droit et la constitutionnalité budgétaire générale.</w:t>
      </w:r>
    </w:p>
    <w:p w14:paraId="5858846B" w14:textId="77777777" w:rsidR="007901F7" w:rsidRPr="00BA4A8A" w:rsidRDefault="007901F7" w:rsidP="00613195">
      <w:pPr>
        <w:pStyle w:val="ListParagraph"/>
        <w:spacing w:line="240" w:lineRule="auto"/>
        <w:jc w:val="both"/>
        <w:rPr>
          <w:rFonts w:ascii="Times New Roman" w:hAnsi="Times New Roman" w:cs="Times New Roman"/>
          <w:sz w:val="24"/>
          <w:szCs w:val="24"/>
        </w:rPr>
      </w:pPr>
    </w:p>
    <w:p w14:paraId="339FDCAA" w14:textId="2575564E" w:rsidR="009315F6" w:rsidRDefault="007901F7" w:rsidP="009315F6">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sz w:val="24"/>
        </w:rPr>
        <w:lastRenderedPageBreak/>
        <w:t>Les problèmes liés à l</w:t>
      </w:r>
      <w:r w:rsidR="002E61E0">
        <w:rPr>
          <w:rFonts w:ascii="Times New Roman" w:hAnsi="Times New Roman"/>
          <w:sz w:val="24"/>
        </w:rPr>
        <w:t>’</w:t>
      </w:r>
      <w:r>
        <w:rPr>
          <w:rFonts w:ascii="Times New Roman" w:hAnsi="Times New Roman"/>
          <w:sz w:val="24"/>
        </w:rPr>
        <w:t>État de droit dans certains États membres de l</w:t>
      </w:r>
      <w:r w:rsidR="002E61E0">
        <w:rPr>
          <w:rFonts w:ascii="Times New Roman" w:hAnsi="Times New Roman"/>
          <w:sz w:val="24"/>
        </w:rPr>
        <w:t>’</w:t>
      </w:r>
      <w:r>
        <w:rPr>
          <w:rFonts w:ascii="Times New Roman" w:hAnsi="Times New Roman"/>
          <w:sz w:val="24"/>
        </w:rPr>
        <w:t>Union au cours de ces dix dernières années ont remis en question la capacité de l</w:t>
      </w:r>
      <w:r w:rsidR="002E61E0">
        <w:rPr>
          <w:rFonts w:ascii="Times New Roman" w:hAnsi="Times New Roman"/>
          <w:sz w:val="24"/>
        </w:rPr>
        <w:t>’</w:t>
      </w:r>
      <w:r>
        <w:rPr>
          <w:rFonts w:ascii="Times New Roman" w:hAnsi="Times New Roman"/>
          <w:sz w:val="24"/>
        </w:rPr>
        <w:t>Union à faire face aux menaces systémiques pesant sur l</w:t>
      </w:r>
      <w:r w:rsidR="002E61E0">
        <w:rPr>
          <w:rFonts w:ascii="Times New Roman" w:hAnsi="Times New Roman"/>
          <w:sz w:val="24"/>
        </w:rPr>
        <w:t>’</w:t>
      </w:r>
      <w:r>
        <w:rPr>
          <w:rFonts w:ascii="Times New Roman" w:hAnsi="Times New Roman"/>
          <w:sz w:val="24"/>
        </w:rPr>
        <w:t>État de droit. Au niveau juridictionnel, la Cour de justice de l</w:t>
      </w:r>
      <w:r w:rsidR="002E61E0">
        <w:rPr>
          <w:rFonts w:ascii="Times New Roman" w:hAnsi="Times New Roman"/>
          <w:sz w:val="24"/>
        </w:rPr>
        <w:t>’</w:t>
      </w:r>
      <w:r>
        <w:rPr>
          <w:rFonts w:ascii="Times New Roman" w:hAnsi="Times New Roman"/>
          <w:sz w:val="24"/>
        </w:rPr>
        <w:t>Union européenne a, dans toute une série d</w:t>
      </w:r>
      <w:r w:rsidR="002E61E0">
        <w:rPr>
          <w:rFonts w:ascii="Times New Roman" w:hAnsi="Times New Roman"/>
          <w:sz w:val="24"/>
        </w:rPr>
        <w:t>’</w:t>
      </w:r>
      <w:r>
        <w:rPr>
          <w:rFonts w:ascii="Times New Roman" w:hAnsi="Times New Roman"/>
          <w:sz w:val="24"/>
        </w:rPr>
        <w:t>affaires, établi des normes minimales communes à l</w:t>
      </w:r>
      <w:r w:rsidR="002E61E0">
        <w:rPr>
          <w:rFonts w:ascii="Times New Roman" w:hAnsi="Times New Roman"/>
          <w:sz w:val="24"/>
        </w:rPr>
        <w:t>’</w:t>
      </w:r>
      <w:r>
        <w:rPr>
          <w:rFonts w:ascii="Times New Roman" w:hAnsi="Times New Roman"/>
          <w:sz w:val="24"/>
        </w:rPr>
        <w:t>ensemble des États membres de l</w:t>
      </w:r>
      <w:r w:rsidR="002E61E0">
        <w:rPr>
          <w:rFonts w:ascii="Times New Roman" w:hAnsi="Times New Roman"/>
          <w:sz w:val="24"/>
        </w:rPr>
        <w:t>’</w:t>
      </w:r>
      <w:r>
        <w:rPr>
          <w:rFonts w:ascii="Times New Roman" w:hAnsi="Times New Roman"/>
          <w:sz w:val="24"/>
        </w:rPr>
        <w:t>Union concernant l</w:t>
      </w:r>
      <w:r w:rsidR="002E61E0">
        <w:rPr>
          <w:rFonts w:ascii="Times New Roman" w:hAnsi="Times New Roman"/>
          <w:sz w:val="24"/>
        </w:rPr>
        <w:t>’</w:t>
      </w:r>
      <w:r>
        <w:rPr>
          <w:rFonts w:ascii="Times New Roman" w:hAnsi="Times New Roman"/>
          <w:sz w:val="24"/>
        </w:rPr>
        <w:t>indépendance de la justice, qui sont fondées sur le droit de l</w:t>
      </w:r>
      <w:r w:rsidR="002E61E0">
        <w:rPr>
          <w:rFonts w:ascii="Times New Roman" w:hAnsi="Times New Roman"/>
          <w:sz w:val="24"/>
        </w:rPr>
        <w:t>’</w:t>
      </w:r>
      <w:r>
        <w:rPr>
          <w:rFonts w:ascii="Times New Roman" w:hAnsi="Times New Roman"/>
          <w:sz w:val="24"/>
        </w:rPr>
        <w:t>Union. Ces normes découlent des dispositions fondamentales prévues à l</w:t>
      </w:r>
      <w:r w:rsidR="002E61E0">
        <w:rPr>
          <w:rFonts w:ascii="Times New Roman" w:hAnsi="Times New Roman"/>
          <w:sz w:val="24"/>
        </w:rPr>
        <w:t>’</w:t>
      </w:r>
      <w:r>
        <w:rPr>
          <w:rFonts w:ascii="Times New Roman" w:hAnsi="Times New Roman"/>
          <w:sz w:val="24"/>
        </w:rPr>
        <w:t>article 19, paragraphe 1, TUE qui impose aux États membres d</w:t>
      </w:r>
      <w:r w:rsidR="002E61E0">
        <w:rPr>
          <w:rFonts w:ascii="Times New Roman" w:hAnsi="Times New Roman"/>
          <w:sz w:val="24"/>
        </w:rPr>
        <w:t>’</w:t>
      </w:r>
      <w:r>
        <w:rPr>
          <w:rFonts w:ascii="Times New Roman" w:hAnsi="Times New Roman"/>
          <w:sz w:val="24"/>
        </w:rPr>
        <w:t>assurer « une protection juridictionnelle effective dans les domaines couverts par le droit de l</w:t>
      </w:r>
      <w:r w:rsidR="002E61E0">
        <w:rPr>
          <w:rFonts w:ascii="Times New Roman" w:hAnsi="Times New Roman"/>
          <w:sz w:val="24"/>
        </w:rPr>
        <w:t>’</w:t>
      </w:r>
      <w:r>
        <w:rPr>
          <w:rFonts w:ascii="Times New Roman" w:hAnsi="Times New Roman"/>
          <w:sz w:val="24"/>
        </w:rPr>
        <w:t>Union », à l</w:t>
      </w:r>
      <w:r w:rsidR="002E61E0">
        <w:rPr>
          <w:rFonts w:ascii="Times New Roman" w:hAnsi="Times New Roman"/>
          <w:sz w:val="24"/>
        </w:rPr>
        <w:t>’</w:t>
      </w:r>
      <w:r>
        <w:rPr>
          <w:rFonts w:ascii="Times New Roman" w:hAnsi="Times New Roman"/>
          <w:sz w:val="24"/>
        </w:rPr>
        <w:t>article 47 de la charte des droits fondamentaux de l</w:t>
      </w:r>
      <w:r w:rsidR="002E61E0">
        <w:rPr>
          <w:rFonts w:ascii="Times New Roman" w:hAnsi="Times New Roman"/>
          <w:sz w:val="24"/>
        </w:rPr>
        <w:t>’</w:t>
      </w:r>
      <w:r>
        <w:rPr>
          <w:rFonts w:ascii="Times New Roman" w:hAnsi="Times New Roman"/>
          <w:sz w:val="24"/>
        </w:rPr>
        <w:t>Union européenne qui garantit le droit à un recours équitable et à une protection juridictionnelle effective lors de la mise en œuvre du droit de l</w:t>
      </w:r>
      <w:r w:rsidR="002E61E0">
        <w:rPr>
          <w:rFonts w:ascii="Times New Roman" w:hAnsi="Times New Roman"/>
          <w:sz w:val="24"/>
        </w:rPr>
        <w:t>’</w:t>
      </w:r>
      <w:r>
        <w:rPr>
          <w:rFonts w:ascii="Times New Roman" w:hAnsi="Times New Roman"/>
          <w:sz w:val="24"/>
        </w:rPr>
        <w:t>Union et à l</w:t>
      </w:r>
      <w:r w:rsidR="002E61E0">
        <w:rPr>
          <w:rFonts w:ascii="Times New Roman" w:hAnsi="Times New Roman"/>
          <w:sz w:val="24"/>
        </w:rPr>
        <w:t>’</w:t>
      </w:r>
      <w:r>
        <w:rPr>
          <w:rFonts w:ascii="Times New Roman" w:hAnsi="Times New Roman"/>
          <w:sz w:val="24"/>
        </w:rPr>
        <w:t>article 2 TUE. Des procédures transparentes - notamment en ce qui concerne la nomination des juges, les actions disciplinaires et le traitement des affaires - renforcent la confiance du public dans l</w:t>
      </w:r>
      <w:r w:rsidR="002E61E0">
        <w:rPr>
          <w:rFonts w:ascii="Times New Roman" w:hAnsi="Times New Roman"/>
          <w:sz w:val="24"/>
        </w:rPr>
        <w:t>’</w:t>
      </w:r>
      <w:r>
        <w:rPr>
          <w:rFonts w:ascii="Times New Roman" w:hAnsi="Times New Roman"/>
          <w:sz w:val="24"/>
        </w:rPr>
        <w:t>impartialité et l</w:t>
      </w:r>
      <w:r w:rsidR="002E61E0">
        <w:rPr>
          <w:rFonts w:ascii="Times New Roman" w:hAnsi="Times New Roman"/>
          <w:sz w:val="24"/>
        </w:rPr>
        <w:t>’</w:t>
      </w:r>
      <w:r>
        <w:rPr>
          <w:rFonts w:ascii="Times New Roman" w:hAnsi="Times New Roman"/>
          <w:sz w:val="24"/>
        </w:rPr>
        <w:t>intégrité du pouvoir judiciaire.</w:t>
      </w:r>
    </w:p>
    <w:p w14:paraId="16E12BAB" w14:textId="77777777" w:rsidR="009315F6" w:rsidRPr="009315F6" w:rsidRDefault="009315F6" w:rsidP="009315F6">
      <w:pPr>
        <w:pStyle w:val="ListParagraph"/>
        <w:rPr>
          <w:rFonts w:ascii="Times New Roman" w:hAnsi="Times New Roman" w:cs="Times New Roman"/>
          <w:sz w:val="24"/>
          <w:szCs w:val="24"/>
        </w:rPr>
      </w:pPr>
    </w:p>
    <w:p w14:paraId="4F1A4988" w14:textId="5DA9AB64" w:rsidR="009E4D5E" w:rsidRPr="009E4D5E" w:rsidRDefault="006B524A" w:rsidP="009E4D5E">
      <w:pPr>
        <w:pStyle w:val="ListParagraph"/>
        <w:numPr>
          <w:ilvl w:val="0"/>
          <w:numId w:val="4"/>
        </w:numPr>
        <w:spacing w:line="240" w:lineRule="auto"/>
        <w:jc w:val="both"/>
      </w:pPr>
      <w:r>
        <w:rPr>
          <w:rFonts w:ascii="Times New Roman" w:hAnsi="Times New Roman"/>
          <w:sz w:val="24"/>
        </w:rPr>
        <w:t>Traditionnellement, les mesures nationales qui ont une incidence sur des éléments fondamentaux de l</w:t>
      </w:r>
      <w:r w:rsidR="002E61E0">
        <w:rPr>
          <w:rFonts w:ascii="Times New Roman" w:hAnsi="Times New Roman"/>
          <w:sz w:val="24"/>
        </w:rPr>
        <w:t>’</w:t>
      </w:r>
      <w:r>
        <w:rPr>
          <w:rFonts w:ascii="Times New Roman" w:hAnsi="Times New Roman"/>
          <w:sz w:val="24"/>
        </w:rPr>
        <w:t>État de droit, tels que l</w:t>
      </w:r>
      <w:r w:rsidR="002E61E0">
        <w:rPr>
          <w:rFonts w:ascii="Times New Roman" w:hAnsi="Times New Roman"/>
          <w:sz w:val="24"/>
        </w:rPr>
        <w:t>’</w:t>
      </w:r>
      <w:r>
        <w:rPr>
          <w:rFonts w:ascii="Times New Roman" w:hAnsi="Times New Roman"/>
          <w:sz w:val="24"/>
        </w:rPr>
        <w:t>indépendance de la justice, sont considérées comme étant généralement exclues du champ d</w:t>
      </w:r>
      <w:r w:rsidR="002E61E0">
        <w:rPr>
          <w:rFonts w:ascii="Times New Roman" w:hAnsi="Times New Roman"/>
          <w:sz w:val="24"/>
        </w:rPr>
        <w:t>’</w:t>
      </w:r>
      <w:r>
        <w:rPr>
          <w:rFonts w:ascii="Times New Roman" w:hAnsi="Times New Roman"/>
          <w:sz w:val="24"/>
        </w:rPr>
        <w:t>application du droit de l</w:t>
      </w:r>
      <w:r w:rsidR="002E61E0">
        <w:rPr>
          <w:rFonts w:ascii="Times New Roman" w:hAnsi="Times New Roman"/>
          <w:sz w:val="24"/>
        </w:rPr>
        <w:t>’</w:t>
      </w:r>
      <w:r>
        <w:rPr>
          <w:rFonts w:ascii="Times New Roman" w:hAnsi="Times New Roman"/>
          <w:sz w:val="24"/>
        </w:rPr>
        <w:t>Union. Toutefois, dans l</w:t>
      </w:r>
      <w:r w:rsidR="002E61E0">
        <w:rPr>
          <w:rFonts w:ascii="Times New Roman" w:hAnsi="Times New Roman"/>
          <w:sz w:val="24"/>
        </w:rPr>
        <w:t>’</w:t>
      </w:r>
      <w:r>
        <w:rPr>
          <w:rFonts w:ascii="Times New Roman" w:hAnsi="Times New Roman"/>
          <w:sz w:val="24"/>
        </w:rPr>
        <w:t xml:space="preserve">affaire </w:t>
      </w:r>
      <w:proofErr w:type="spellStart"/>
      <w:r>
        <w:rPr>
          <w:rFonts w:ascii="Times New Roman" w:hAnsi="Times New Roman"/>
          <w:i/>
          <w:iCs/>
          <w:sz w:val="24"/>
        </w:rPr>
        <w:t>Associação</w:t>
      </w:r>
      <w:proofErr w:type="spellEnd"/>
      <w:r>
        <w:rPr>
          <w:rFonts w:ascii="Times New Roman" w:hAnsi="Times New Roman"/>
          <w:i/>
          <w:iCs/>
          <w:sz w:val="24"/>
        </w:rPr>
        <w:t xml:space="preserve"> </w:t>
      </w:r>
      <w:proofErr w:type="spellStart"/>
      <w:r>
        <w:rPr>
          <w:rFonts w:ascii="Times New Roman" w:hAnsi="Times New Roman"/>
          <w:i/>
          <w:iCs/>
          <w:sz w:val="24"/>
        </w:rPr>
        <w:t>Sindical</w:t>
      </w:r>
      <w:proofErr w:type="spellEnd"/>
      <w:r>
        <w:rPr>
          <w:rFonts w:ascii="Times New Roman" w:hAnsi="Times New Roman"/>
          <w:i/>
          <w:iCs/>
          <w:sz w:val="24"/>
        </w:rPr>
        <w:t xml:space="preserve"> dos </w:t>
      </w:r>
      <w:proofErr w:type="spellStart"/>
      <w:r>
        <w:rPr>
          <w:rFonts w:ascii="Times New Roman" w:hAnsi="Times New Roman"/>
          <w:i/>
          <w:iCs/>
          <w:sz w:val="24"/>
        </w:rPr>
        <w:t>Juízes</w:t>
      </w:r>
      <w:proofErr w:type="spellEnd"/>
      <w:r>
        <w:rPr>
          <w:rFonts w:ascii="Times New Roman" w:hAnsi="Times New Roman"/>
          <w:i/>
          <w:iCs/>
          <w:sz w:val="24"/>
        </w:rPr>
        <w:t xml:space="preserve"> </w:t>
      </w:r>
      <w:proofErr w:type="spellStart"/>
      <w:r>
        <w:rPr>
          <w:rFonts w:ascii="Times New Roman" w:hAnsi="Times New Roman"/>
          <w:i/>
          <w:iCs/>
          <w:sz w:val="24"/>
        </w:rPr>
        <w:t>Portugueses</w:t>
      </w:r>
      <w:proofErr w:type="spellEnd"/>
      <w:r>
        <w:rPr>
          <w:rFonts w:ascii="Times New Roman" w:hAnsi="Times New Roman"/>
          <w:sz w:val="24"/>
        </w:rPr>
        <w:t xml:space="preserve"> (C-64/16, EU:C:2018:117), communément </w:t>
      </w:r>
      <w:r w:rsidR="002E61E0">
        <w:rPr>
          <w:rFonts w:ascii="Times New Roman" w:hAnsi="Times New Roman"/>
          <w:sz w:val="24"/>
        </w:rPr>
        <w:t xml:space="preserve">appelée </w:t>
      </w:r>
      <w:r>
        <w:rPr>
          <w:rFonts w:ascii="Times New Roman" w:hAnsi="Times New Roman"/>
          <w:sz w:val="24"/>
        </w:rPr>
        <w:t>l</w:t>
      </w:r>
      <w:r w:rsidR="002E61E0">
        <w:rPr>
          <w:rFonts w:ascii="Times New Roman" w:hAnsi="Times New Roman"/>
          <w:sz w:val="24"/>
        </w:rPr>
        <w:t>’« </w:t>
      </w:r>
      <w:r>
        <w:rPr>
          <w:rFonts w:ascii="Times New Roman" w:hAnsi="Times New Roman"/>
          <w:sz w:val="24"/>
        </w:rPr>
        <w:t>affaire des juges portugais</w:t>
      </w:r>
      <w:r w:rsidR="002E61E0">
        <w:rPr>
          <w:rFonts w:ascii="Times New Roman" w:hAnsi="Times New Roman"/>
          <w:sz w:val="24"/>
        </w:rPr>
        <w:t> »</w:t>
      </w:r>
      <w:r>
        <w:rPr>
          <w:rFonts w:ascii="Times New Roman" w:hAnsi="Times New Roman"/>
          <w:sz w:val="24"/>
        </w:rPr>
        <w:t>, la Cour de justice a jugé que l</w:t>
      </w:r>
      <w:r w:rsidR="002E61E0">
        <w:rPr>
          <w:rFonts w:ascii="Times New Roman" w:hAnsi="Times New Roman"/>
          <w:sz w:val="24"/>
        </w:rPr>
        <w:t>’</w:t>
      </w:r>
      <w:r>
        <w:rPr>
          <w:rFonts w:ascii="Times New Roman" w:hAnsi="Times New Roman"/>
          <w:sz w:val="24"/>
        </w:rPr>
        <w:t>article 19, paragraphe 1, second alinéa, TUE peut servir de base juridique autonome pour examiner la compatibilité des mesures nationales avec le principe de protection juridictionnelle effective de l</w:t>
      </w:r>
      <w:r w:rsidR="002E61E0">
        <w:rPr>
          <w:rFonts w:ascii="Times New Roman" w:hAnsi="Times New Roman"/>
          <w:sz w:val="24"/>
        </w:rPr>
        <w:t>’</w:t>
      </w:r>
      <w:r>
        <w:rPr>
          <w:rFonts w:ascii="Times New Roman" w:hAnsi="Times New Roman"/>
          <w:sz w:val="24"/>
        </w:rPr>
        <w:t>Union « chaque fois qu</w:t>
      </w:r>
      <w:r w:rsidR="002E61E0">
        <w:rPr>
          <w:rFonts w:ascii="Times New Roman" w:hAnsi="Times New Roman"/>
          <w:sz w:val="24"/>
        </w:rPr>
        <w:t>’</w:t>
      </w:r>
      <w:r>
        <w:rPr>
          <w:rFonts w:ascii="Times New Roman" w:hAnsi="Times New Roman"/>
          <w:sz w:val="24"/>
        </w:rPr>
        <w:t>une juridiction [nationale] peut être amenée à statuer sur des affaires relevant des “domaines couverts par le droit de l</w:t>
      </w:r>
      <w:r w:rsidR="002E61E0">
        <w:rPr>
          <w:rFonts w:ascii="Times New Roman" w:hAnsi="Times New Roman"/>
          <w:sz w:val="24"/>
        </w:rPr>
        <w:t>’</w:t>
      </w:r>
      <w:r>
        <w:rPr>
          <w:rFonts w:ascii="Times New Roman" w:hAnsi="Times New Roman"/>
          <w:sz w:val="24"/>
        </w:rPr>
        <w:t>Union” ». Ainsi, l</w:t>
      </w:r>
      <w:r w:rsidR="002E61E0">
        <w:rPr>
          <w:rFonts w:ascii="Times New Roman" w:hAnsi="Times New Roman"/>
          <w:sz w:val="24"/>
        </w:rPr>
        <w:t>’</w:t>
      </w:r>
      <w:r>
        <w:rPr>
          <w:rFonts w:ascii="Times New Roman" w:hAnsi="Times New Roman"/>
          <w:sz w:val="24"/>
        </w:rPr>
        <w:t>article 19, paragraphe 1, TUE peut être invoqué pour contester des mesures ou pratiques nationales susceptibles d</w:t>
      </w:r>
      <w:r w:rsidR="002E61E0">
        <w:rPr>
          <w:rFonts w:ascii="Times New Roman" w:hAnsi="Times New Roman"/>
          <w:sz w:val="24"/>
        </w:rPr>
        <w:t>’</w:t>
      </w:r>
      <w:r>
        <w:rPr>
          <w:rFonts w:ascii="Times New Roman" w:hAnsi="Times New Roman"/>
          <w:sz w:val="24"/>
        </w:rPr>
        <w:t>aller à l</w:t>
      </w:r>
      <w:r w:rsidR="002E61E0">
        <w:rPr>
          <w:rFonts w:ascii="Times New Roman" w:hAnsi="Times New Roman"/>
          <w:sz w:val="24"/>
        </w:rPr>
        <w:t>’</w:t>
      </w:r>
      <w:r>
        <w:rPr>
          <w:rFonts w:ascii="Times New Roman" w:hAnsi="Times New Roman"/>
          <w:sz w:val="24"/>
        </w:rPr>
        <w:t>encontre des exigences de l</w:t>
      </w:r>
      <w:r w:rsidR="002E61E0">
        <w:rPr>
          <w:rFonts w:ascii="Times New Roman" w:hAnsi="Times New Roman"/>
          <w:sz w:val="24"/>
        </w:rPr>
        <w:t>’</w:t>
      </w:r>
      <w:r>
        <w:rPr>
          <w:rFonts w:ascii="Times New Roman" w:hAnsi="Times New Roman"/>
          <w:sz w:val="24"/>
        </w:rPr>
        <w:t>Union en matière de protection juridictionnelle effective, même dans les cas où l</w:t>
      </w:r>
      <w:r w:rsidR="002E61E0">
        <w:rPr>
          <w:rFonts w:ascii="Times New Roman" w:hAnsi="Times New Roman"/>
          <w:sz w:val="24"/>
        </w:rPr>
        <w:t>’</w:t>
      </w:r>
      <w:r>
        <w:rPr>
          <w:rFonts w:ascii="Times New Roman" w:hAnsi="Times New Roman"/>
          <w:sz w:val="24"/>
        </w:rPr>
        <w:t>article 47 de la Charte ne pourrait pas s</w:t>
      </w:r>
      <w:r w:rsidR="002E61E0">
        <w:rPr>
          <w:rFonts w:ascii="Times New Roman" w:hAnsi="Times New Roman"/>
          <w:sz w:val="24"/>
        </w:rPr>
        <w:t>’</w:t>
      </w:r>
      <w:r>
        <w:rPr>
          <w:rFonts w:ascii="Times New Roman" w:hAnsi="Times New Roman"/>
          <w:sz w:val="24"/>
        </w:rPr>
        <w:t>appliquer. L</w:t>
      </w:r>
      <w:r w:rsidR="002E61E0">
        <w:rPr>
          <w:rFonts w:ascii="Times New Roman" w:hAnsi="Times New Roman"/>
          <w:sz w:val="24"/>
        </w:rPr>
        <w:t>’</w:t>
      </w:r>
      <w:r>
        <w:rPr>
          <w:rFonts w:ascii="Times New Roman" w:hAnsi="Times New Roman"/>
          <w:sz w:val="24"/>
        </w:rPr>
        <w:t>article 19, paragraphe 1, TUE a fait l</w:t>
      </w:r>
      <w:r w:rsidR="002E61E0">
        <w:rPr>
          <w:rFonts w:ascii="Times New Roman" w:hAnsi="Times New Roman"/>
          <w:sz w:val="24"/>
        </w:rPr>
        <w:t>’</w:t>
      </w:r>
      <w:r>
        <w:rPr>
          <w:rFonts w:ascii="Times New Roman" w:hAnsi="Times New Roman"/>
          <w:sz w:val="24"/>
        </w:rPr>
        <w:t>objet de plusieurs renvois préjudiciels à la Cour de justice par des juridictions nationales, devant lesquelles ont été soulevées des questions relatives à l</w:t>
      </w:r>
      <w:r w:rsidR="002E61E0">
        <w:rPr>
          <w:rFonts w:ascii="Times New Roman" w:hAnsi="Times New Roman"/>
          <w:sz w:val="24"/>
        </w:rPr>
        <w:t>’</w:t>
      </w:r>
      <w:r>
        <w:rPr>
          <w:rFonts w:ascii="Times New Roman" w:hAnsi="Times New Roman"/>
          <w:sz w:val="24"/>
        </w:rPr>
        <w:t>État de droit dans d</w:t>
      </w:r>
      <w:r w:rsidR="002E61E0">
        <w:rPr>
          <w:rFonts w:ascii="Times New Roman" w:hAnsi="Times New Roman"/>
          <w:sz w:val="24"/>
        </w:rPr>
        <w:t>’</w:t>
      </w:r>
      <w:r>
        <w:rPr>
          <w:rFonts w:ascii="Times New Roman" w:hAnsi="Times New Roman"/>
          <w:sz w:val="24"/>
        </w:rPr>
        <w:t xml:space="preserve">autres États membres, ainsi que par des juridictions nationales concernant des questions qui se posent dans leur </w:t>
      </w:r>
      <w:r w:rsidR="007C18FD">
        <w:rPr>
          <w:rFonts w:ascii="Times New Roman" w:hAnsi="Times New Roman"/>
          <w:sz w:val="24"/>
        </w:rPr>
        <w:t xml:space="preserve">propre </w:t>
      </w:r>
      <w:r>
        <w:rPr>
          <w:rFonts w:ascii="Times New Roman" w:hAnsi="Times New Roman"/>
          <w:sz w:val="24"/>
        </w:rPr>
        <w:t>ordre juridique interne. La Commission européenne a également introduit quelques procédures d</w:t>
      </w:r>
      <w:r w:rsidR="002E61E0">
        <w:rPr>
          <w:rFonts w:ascii="Times New Roman" w:hAnsi="Times New Roman"/>
          <w:sz w:val="24"/>
        </w:rPr>
        <w:t>’</w:t>
      </w:r>
      <w:r>
        <w:rPr>
          <w:rFonts w:ascii="Times New Roman" w:hAnsi="Times New Roman"/>
          <w:sz w:val="24"/>
        </w:rPr>
        <w:t xml:space="preserve">infraction devant la Cour de justice. </w:t>
      </w:r>
    </w:p>
    <w:p w14:paraId="385D9E8D" w14:textId="77777777" w:rsidR="009E4D5E" w:rsidRDefault="009E4D5E" w:rsidP="009E4D5E">
      <w:pPr>
        <w:pStyle w:val="ListParagraph"/>
      </w:pPr>
    </w:p>
    <w:p w14:paraId="6FF8D704" w14:textId="77777777" w:rsidR="009E4D5E" w:rsidRDefault="009E4D5E" w:rsidP="009E4D5E">
      <w:pPr>
        <w:pStyle w:val="ListParagraph"/>
        <w:spacing w:line="240" w:lineRule="auto"/>
        <w:jc w:val="both"/>
      </w:pPr>
    </w:p>
    <w:p w14:paraId="08A989D6" w14:textId="3BA24591" w:rsidR="009E4D5E" w:rsidRDefault="006C5167" w:rsidP="009E4D5E">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sz w:val="24"/>
        </w:rPr>
        <w:t>Dans les affaires jointes A.K. e.a. (Indépendance de la chambre disciplinaire de la Cour suprême) (C-585/18, C-624/18 et C-625/18, EU:C:2019:551), la Cour de justice a estimé que, même si l</w:t>
      </w:r>
      <w:r w:rsidR="002E61E0">
        <w:rPr>
          <w:rFonts w:ascii="Times New Roman" w:hAnsi="Times New Roman"/>
          <w:sz w:val="24"/>
        </w:rPr>
        <w:t>’</w:t>
      </w:r>
      <w:r>
        <w:rPr>
          <w:rFonts w:ascii="Times New Roman" w:hAnsi="Times New Roman"/>
          <w:sz w:val="24"/>
        </w:rPr>
        <w:t>organisation de la justice relève de la compétence des États membres, ces derniers sont tenus de respecter les obligations qui découlent du droit de l</w:t>
      </w:r>
      <w:r w:rsidR="002E61E0">
        <w:rPr>
          <w:rFonts w:ascii="Times New Roman" w:hAnsi="Times New Roman"/>
          <w:sz w:val="24"/>
        </w:rPr>
        <w:t>’</w:t>
      </w:r>
      <w:r>
        <w:rPr>
          <w:rFonts w:ascii="Times New Roman" w:hAnsi="Times New Roman"/>
          <w:sz w:val="24"/>
        </w:rPr>
        <w:t>Union, en particulier lorsque les juridictions nationales sont appelées à statuer sur des questions portant sur l</w:t>
      </w:r>
      <w:r w:rsidR="002E61E0">
        <w:rPr>
          <w:rFonts w:ascii="Times New Roman" w:hAnsi="Times New Roman"/>
          <w:sz w:val="24"/>
        </w:rPr>
        <w:t>’</w:t>
      </w:r>
      <w:r>
        <w:rPr>
          <w:rFonts w:ascii="Times New Roman" w:hAnsi="Times New Roman"/>
          <w:sz w:val="24"/>
        </w:rPr>
        <w:t>application ou l</w:t>
      </w:r>
      <w:r w:rsidR="002E61E0">
        <w:rPr>
          <w:rFonts w:ascii="Times New Roman" w:hAnsi="Times New Roman"/>
          <w:sz w:val="24"/>
        </w:rPr>
        <w:t>’</w:t>
      </w:r>
      <w:r>
        <w:rPr>
          <w:rFonts w:ascii="Times New Roman" w:hAnsi="Times New Roman"/>
          <w:sz w:val="24"/>
        </w:rPr>
        <w:t>interprétation du droit de l</w:t>
      </w:r>
      <w:r w:rsidR="002E61E0">
        <w:rPr>
          <w:rFonts w:ascii="Times New Roman" w:hAnsi="Times New Roman"/>
          <w:sz w:val="24"/>
        </w:rPr>
        <w:t>’</w:t>
      </w:r>
      <w:r>
        <w:rPr>
          <w:rFonts w:ascii="Times New Roman" w:hAnsi="Times New Roman"/>
          <w:sz w:val="24"/>
        </w:rPr>
        <w:t xml:space="preserve">Union. </w:t>
      </w:r>
    </w:p>
    <w:p w14:paraId="2E91419C" w14:textId="77777777" w:rsidR="009E4D5E" w:rsidRDefault="009E4D5E" w:rsidP="009E4D5E">
      <w:pPr>
        <w:pStyle w:val="ListParagraph"/>
        <w:spacing w:line="240" w:lineRule="auto"/>
        <w:jc w:val="both"/>
        <w:rPr>
          <w:rFonts w:ascii="Times New Roman" w:hAnsi="Times New Roman" w:cs="Times New Roman"/>
          <w:sz w:val="24"/>
          <w:szCs w:val="24"/>
        </w:rPr>
      </w:pPr>
    </w:p>
    <w:p w14:paraId="4794BD9E" w14:textId="3A393DB9" w:rsidR="00DD5F6E" w:rsidRPr="009E4D5E" w:rsidRDefault="00BF4D62" w:rsidP="009E4D5E">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sz w:val="24"/>
        </w:rPr>
        <w:t>Ce thème a pour objectif de permettre de comprendre comment il est procédé à la sauvegarde de l</w:t>
      </w:r>
      <w:r w:rsidR="002E61E0">
        <w:rPr>
          <w:rFonts w:ascii="Times New Roman" w:hAnsi="Times New Roman"/>
          <w:sz w:val="24"/>
        </w:rPr>
        <w:t>’</w:t>
      </w:r>
      <w:r>
        <w:rPr>
          <w:rFonts w:ascii="Times New Roman" w:hAnsi="Times New Roman"/>
          <w:sz w:val="24"/>
        </w:rPr>
        <w:t>indépendance de la justice dans la pratique, si et comment il est fait recours à la procédure de renvoi préjudiciel pour atteindre cet objectif, quel rôle jouent les procédures judiciaires transparentes dans la promotion de la confiance et de la prise de responsabilité, et comment les principes énoncés à l</w:t>
      </w:r>
      <w:r w:rsidR="002E61E0">
        <w:rPr>
          <w:rFonts w:ascii="Times New Roman" w:hAnsi="Times New Roman"/>
          <w:sz w:val="24"/>
        </w:rPr>
        <w:t>’</w:t>
      </w:r>
      <w:r>
        <w:rPr>
          <w:rFonts w:ascii="Times New Roman" w:hAnsi="Times New Roman"/>
          <w:sz w:val="24"/>
        </w:rPr>
        <w:t>article 19 TUE et à l</w:t>
      </w:r>
      <w:r w:rsidR="002E61E0">
        <w:rPr>
          <w:rFonts w:ascii="Times New Roman" w:hAnsi="Times New Roman"/>
          <w:sz w:val="24"/>
        </w:rPr>
        <w:t>’</w:t>
      </w:r>
      <w:r>
        <w:rPr>
          <w:rFonts w:ascii="Times New Roman" w:hAnsi="Times New Roman"/>
          <w:sz w:val="24"/>
        </w:rPr>
        <w:t xml:space="preserve">article 47 de la Charte sont mis en œuvre dans les États membres. </w:t>
      </w:r>
    </w:p>
    <w:p w14:paraId="6ABED9EF" w14:textId="77777777" w:rsidR="00DD5F6E" w:rsidRPr="00BA4A8A" w:rsidRDefault="00DD5F6E" w:rsidP="00FB7BD2">
      <w:pPr>
        <w:pStyle w:val="NoSpacing"/>
        <w:rPr>
          <w:rFonts w:ascii="Times New Roman" w:hAnsi="Times New Roman" w:cs="Times New Roman"/>
          <w:sz w:val="24"/>
          <w:szCs w:val="24"/>
        </w:rPr>
      </w:pPr>
    </w:p>
    <w:p w14:paraId="304DC909" w14:textId="244E619F" w:rsidR="00F65067" w:rsidRPr="00BA4A8A" w:rsidRDefault="002E3C0D" w:rsidP="00556DCE">
      <w:pPr>
        <w:pStyle w:val="ListParagraph"/>
        <w:numPr>
          <w:ilvl w:val="0"/>
          <w:numId w:val="1"/>
        </w:numPr>
        <w:spacing w:line="240" w:lineRule="auto"/>
        <w:jc w:val="both"/>
        <w:rPr>
          <w:rFonts w:ascii="Times New Roman" w:hAnsi="Times New Roman" w:cs="Times New Roman"/>
          <w:b/>
          <w:bCs/>
          <w:i/>
          <w:iCs/>
          <w:sz w:val="24"/>
          <w:szCs w:val="24"/>
        </w:rPr>
      </w:pPr>
      <w:r>
        <w:rPr>
          <w:rFonts w:ascii="Times New Roman" w:hAnsi="Times New Roman"/>
          <w:b/>
          <w:i/>
          <w:sz w:val="24"/>
        </w:rPr>
        <w:t>Question(s)</w:t>
      </w:r>
    </w:p>
    <w:p w14:paraId="23217799" w14:textId="77777777" w:rsidR="00056137" w:rsidRPr="00BA4A8A" w:rsidRDefault="00056137" w:rsidP="00FB7BD2">
      <w:pPr>
        <w:pStyle w:val="NoSpacing"/>
        <w:rPr>
          <w:rFonts w:ascii="Times New Roman" w:hAnsi="Times New Roman" w:cs="Times New Roman"/>
          <w:sz w:val="24"/>
          <w:szCs w:val="24"/>
        </w:rPr>
      </w:pPr>
    </w:p>
    <w:p w14:paraId="7FF3CEEC" w14:textId="5121086C" w:rsidR="001856ED" w:rsidRDefault="006612CB" w:rsidP="001856ED">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sz w:val="24"/>
        </w:rPr>
        <w:t>Votre juridiction ou d</w:t>
      </w:r>
      <w:r w:rsidR="002E61E0">
        <w:rPr>
          <w:rFonts w:ascii="Times New Roman" w:hAnsi="Times New Roman"/>
          <w:sz w:val="24"/>
        </w:rPr>
        <w:t>’</w:t>
      </w:r>
      <w:r>
        <w:rPr>
          <w:rFonts w:ascii="Times New Roman" w:hAnsi="Times New Roman"/>
          <w:sz w:val="24"/>
        </w:rPr>
        <w:t>autres juridictions de votre État membre ont-elles eu recours à la procédure de renvoi préjudiciel en ce qui concerne des mesures nationales dont il est allégué qu</w:t>
      </w:r>
      <w:r w:rsidR="002E61E0">
        <w:rPr>
          <w:rFonts w:ascii="Times New Roman" w:hAnsi="Times New Roman"/>
          <w:sz w:val="24"/>
        </w:rPr>
        <w:t>’</w:t>
      </w:r>
      <w:r>
        <w:rPr>
          <w:rFonts w:ascii="Times New Roman" w:hAnsi="Times New Roman"/>
          <w:sz w:val="24"/>
        </w:rPr>
        <w:t>elles ont une incidence sur l</w:t>
      </w:r>
      <w:r w:rsidR="002E61E0">
        <w:rPr>
          <w:rFonts w:ascii="Times New Roman" w:hAnsi="Times New Roman"/>
          <w:sz w:val="24"/>
        </w:rPr>
        <w:t>’</w:t>
      </w:r>
      <w:r>
        <w:rPr>
          <w:rFonts w:ascii="Times New Roman" w:hAnsi="Times New Roman"/>
          <w:sz w:val="24"/>
        </w:rPr>
        <w:t>indépendance du pouvoir judiciaire d</w:t>
      </w:r>
      <w:r w:rsidR="002E61E0">
        <w:rPr>
          <w:rFonts w:ascii="Times New Roman" w:hAnsi="Times New Roman"/>
          <w:sz w:val="24"/>
        </w:rPr>
        <w:t>’</w:t>
      </w:r>
      <w:r>
        <w:rPr>
          <w:rFonts w:ascii="Times New Roman" w:hAnsi="Times New Roman"/>
          <w:sz w:val="24"/>
        </w:rPr>
        <w:t>un autre État ?</w:t>
      </w:r>
    </w:p>
    <w:p w14:paraId="04DFC393" w14:textId="70647378" w:rsidR="00BE5B05" w:rsidRDefault="00BE5B05" w:rsidP="001856ED">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sz w:val="24"/>
        </w:rPr>
        <w:t>Votre juridiction ou d</w:t>
      </w:r>
      <w:r w:rsidR="002E61E0">
        <w:rPr>
          <w:rFonts w:ascii="Times New Roman" w:hAnsi="Times New Roman"/>
          <w:sz w:val="24"/>
        </w:rPr>
        <w:t>’</w:t>
      </w:r>
      <w:r>
        <w:rPr>
          <w:rFonts w:ascii="Times New Roman" w:hAnsi="Times New Roman"/>
          <w:sz w:val="24"/>
        </w:rPr>
        <w:t>autres juridictions de votre État membre ont-elles eu recours à la procédure de renvoi préjudiciel en ce qui concerne des mesures nationales dont il est allégué qu</w:t>
      </w:r>
      <w:r w:rsidR="002E61E0">
        <w:rPr>
          <w:rFonts w:ascii="Times New Roman" w:hAnsi="Times New Roman"/>
          <w:sz w:val="24"/>
        </w:rPr>
        <w:t>’</w:t>
      </w:r>
      <w:r>
        <w:rPr>
          <w:rFonts w:ascii="Times New Roman" w:hAnsi="Times New Roman"/>
          <w:sz w:val="24"/>
        </w:rPr>
        <w:t>elles ont une incidence sur l</w:t>
      </w:r>
      <w:r w:rsidR="002E61E0">
        <w:rPr>
          <w:rFonts w:ascii="Times New Roman" w:hAnsi="Times New Roman"/>
          <w:sz w:val="24"/>
        </w:rPr>
        <w:t>’</w:t>
      </w:r>
      <w:r>
        <w:rPr>
          <w:rFonts w:ascii="Times New Roman" w:hAnsi="Times New Roman"/>
          <w:sz w:val="24"/>
        </w:rPr>
        <w:t>indépendance du pouvoir judiciaire de votre propre État ?</w:t>
      </w:r>
    </w:p>
    <w:p w14:paraId="333052FD" w14:textId="7B4D030E" w:rsidR="00A01CCA" w:rsidRPr="001856ED" w:rsidRDefault="00A01CCA" w:rsidP="001856ED">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sz w:val="24"/>
        </w:rPr>
        <w:t>Selon vous, le renvoi préjudiciel constitue-t-il un mécanisme approprié et efficace pour soulever des questions concernant des mesures nationales dont il est allégué qu</w:t>
      </w:r>
      <w:r w:rsidR="002E61E0">
        <w:rPr>
          <w:rFonts w:ascii="Times New Roman" w:hAnsi="Times New Roman"/>
          <w:sz w:val="24"/>
        </w:rPr>
        <w:t>’</w:t>
      </w:r>
      <w:r>
        <w:rPr>
          <w:rFonts w:ascii="Times New Roman" w:hAnsi="Times New Roman"/>
          <w:sz w:val="24"/>
        </w:rPr>
        <w:t>elles ont une incidence sur l</w:t>
      </w:r>
      <w:r w:rsidR="002E61E0">
        <w:rPr>
          <w:rFonts w:ascii="Times New Roman" w:hAnsi="Times New Roman"/>
          <w:sz w:val="24"/>
        </w:rPr>
        <w:t>’</w:t>
      </w:r>
      <w:r>
        <w:rPr>
          <w:rFonts w:ascii="Times New Roman" w:hAnsi="Times New Roman"/>
          <w:sz w:val="24"/>
        </w:rPr>
        <w:t>indépendance de la justice ?</w:t>
      </w:r>
    </w:p>
    <w:p w14:paraId="40E1C553" w14:textId="31B498CF" w:rsidR="00657288" w:rsidRDefault="0024729C" w:rsidP="006668EB">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sz w:val="24"/>
        </w:rPr>
        <w:t>Indépendamment de l</w:t>
      </w:r>
      <w:r w:rsidR="002E61E0">
        <w:rPr>
          <w:rFonts w:ascii="Times New Roman" w:hAnsi="Times New Roman"/>
          <w:sz w:val="24"/>
        </w:rPr>
        <w:t>’</w:t>
      </w:r>
      <w:r>
        <w:rPr>
          <w:rFonts w:ascii="Times New Roman" w:hAnsi="Times New Roman"/>
          <w:sz w:val="24"/>
        </w:rPr>
        <w:t>introduction ou non d</w:t>
      </w:r>
      <w:r w:rsidR="002E61E0">
        <w:rPr>
          <w:rFonts w:ascii="Times New Roman" w:hAnsi="Times New Roman"/>
          <w:sz w:val="24"/>
        </w:rPr>
        <w:t>’</w:t>
      </w:r>
      <w:r>
        <w:rPr>
          <w:rFonts w:ascii="Times New Roman" w:hAnsi="Times New Roman"/>
          <w:sz w:val="24"/>
        </w:rPr>
        <w:t>une demande de décision préjudicielle par votre juridiction ou votre État membre, l</w:t>
      </w:r>
      <w:r w:rsidR="002E61E0">
        <w:rPr>
          <w:rFonts w:ascii="Times New Roman" w:hAnsi="Times New Roman"/>
          <w:sz w:val="24"/>
        </w:rPr>
        <w:t>’</w:t>
      </w:r>
      <w:r>
        <w:rPr>
          <w:rFonts w:ascii="Times New Roman" w:hAnsi="Times New Roman"/>
          <w:sz w:val="24"/>
        </w:rPr>
        <w:t>arrêt rendu dans l</w:t>
      </w:r>
      <w:r w:rsidR="002E61E0">
        <w:rPr>
          <w:rFonts w:ascii="Times New Roman" w:hAnsi="Times New Roman"/>
          <w:sz w:val="24"/>
        </w:rPr>
        <w:t>’</w:t>
      </w:r>
      <w:r>
        <w:rPr>
          <w:rFonts w:ascii="Times New Roman" w:hAnsi="Times New Roman"/>
          <w:sz w:val="24"/>
        </w:rPr>
        <w:t>affaire des juges portugais par la Cour de justice et l</w:t>
      </w:r>
      <w:r w:rsidR="002E61E0">
        <w:rPr>
          <w:rFonts w:ascii="Times New Roman" w:hAnsi="Times New Roman"/>
          <w:sz w:val="24"/>
        </w:rPr>
        <w:t>’</w:t>
      </w:r>
      <w:r>
        <w:rPr>
          <w:rFonts w:ascii="Times New Roman" w:hAnsi="Times New Roman"/>
          <w:sz w:val="24"/>
        </w:rPr>
        <w:t>interprétation par celle-ci de l</w:t>
      </w:r>
      <w:r w:rsidR="002E61E0">
        <w:rPr>
          <w:rFonts w:ascii="Times New Roman" w:hAnsi="Times New Roman"/>
          <w:sz w:val="24"/>
        </w:rPr>
        <w:t>’</w:t>
      </w:r>
      <w:r>
        <w:rPr>
          <w:rFonts w:ascii="Times New Roman" w:hAnsi="Times New Roman"/>
          <w:sz w:val="24"/>
        </w:rPr>
        <w:t>article 19, paragraphe 1, TUE, ainsi que la jurisprudence qui en découle, ont-ils eu des conséquences concrètes sur les mesures ou les pratiques nationales dans le cadre de votre système juridique ?</w:t>
      </w:r>
    </w:p>
    <w:p w14:paraId="0E5BB8E0" w14:textId="14262B49" w:rsidR="00C40BBC" w:rsidRPr="009B32A5" w:rsidRDefault="00C40BBC" w:rsidP="005B363A">
      <w:pPr>
        <w:pStyle w:val="ListParagraph"/>
        <w:spacing w:line="240" w:lineRule="auto"/>
        <w:ind w:left="1080"/>
        <w:jc w:val="both"/>
        <w:rPr>
          <w:rFonts w:ascii="Times New Roman" w:hAnsi="Times New Roman" w:cs="Times New Roman"/>
          <w:sz w:val="24"/>
          <w:szCs w:val="24"/>
        </w:rPr>
      </w:pPr>
    </w:p>
    <w:sectPr w:rsidR="00C40BBC" w:rsidRPr="009B32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086AB" w14:textId="77777777" w:rsidR="00426060" w:rsidRDefault="00426060" w:rsidP="00C81A64">
      <w:pPr>
        <w:spacing w:after="0" w:line="240" w:lineRule="auto"/>
      </w:pPr>
      <w:r>
        <w:separator/>
      </w:r>
    </w:p>
  </w:endnote>
  <w:endnote w:type="continuationSeparator" w:id="0">
    <w:p w14:paraId="576CBD25" w14:textId="77777777" w:rsidR="00426060" w:rsidRDefault="00426060" w:rsidP="00C81A64">
      <w:pPr>
        <w:spacing w:after="0" w:line="240" w:lineRule="auto"/>
      </w:pPr>
      <w:r>
        <w:continuationSeparator/>
      </w:r>
    </w:p>
  </w:endnote>
  <w:endnote w:type="continuationNotice" w:id="1">
    <w:p w14:paraId="1B4BCAB8" w14:textId="77777777" w:rsidR="00426060" w:rsidRDefault="00426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8BD9" w14:textId="77777777" w:rsidR="0031574F" w:rsidRDefault="00315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51122730"/>
      <w:docPartObj>
        <w:docPartGallery w:val="Page Numbers (Bottom of Page)"/>
        <w:docPartUnique/>
      </w:docPartObj>
    </w:sdtPr>
    <w:sdtEndPr>
      <w:rPr>
        <w:noProof/>
      </w:rPr>
    </w:sdtEndPr>
    <w:sdtContent>
      <w:p w14:paraId="57F83607" w14:textId="43DE6997" w:rsidR="00C81A64" w:rsidRPr="00C81A64" w:rsidRDefault="00C81A64" w:rsidP="00C81A64">
        <w:pPr>
          <w:pStyle w:val="Footer"/>
          <w:jc w:val="right"/>
          <w:rPr>
            <w:sz w:val="20"/>
            <w:szCs w:val="20"/>
          </w:rPr>
        </w:pPr>
        <w:r w:rsidRPr="00C81A64">
          <w:rPr>
            <w:sz w:val="20"/>
          </w:rPr>
          <w:fldChar w:fldCharType="begin"/>
        </w:r>
        <w:r w:rsidRPr="00C81A64">
          <w:rPr>
            <w:sz w:val="20"/>
          </w:rPr>
          <w:instrText xml:space="preserve"> PAGE   \* MERGEFORMAT </w:instrText>
        </w:r>
        <w:r w:rsidRPr="00C81A64">
          <w:rPr>
            <w:sz w:val="20"/>
          </w:rPr>
          <w:fldChar w:fldCharType="separate"/>
        </w:r>
        <w:r w:rsidRPr="00C81A64">
          <w:rPr>
            <w:sz w:val="20"/>
          </w:rPr>
          <w:t>2</w:t>
        </w:r>
        <w:r w:rsidRPr="00C81A64">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57B4" w14:textId="77777777" w:rsidR="0031574F" w:rsidRDefault="00315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F3098" w14:textId="77777777" w:rsidR="00426060" w:rsidRDefault="00426060" w:rsidP="00C81A64">
      <w:pPr>
        <w:spacing w:after="0" w:line="240" w:lineRule="auto"/>
      </w:pPr>
      <w:r>
        <w:separator/>
      </w:r>
    </w:p>
  </w:footnote>
  <w:footnote w:type="continuationSeparator" w:id="0">
    <w:p w14:paraId="49D354D3" w14:textId="77777777" w:rsidR="00426060" w:rsidRDefault="00426060" w:rsidP="00C81A64">
      <w:pPr>
        <w:spacing w:after="0" w:line="240" w:lineRule="auto"/>
      </w:pPr>
      <w:r>
        <w:continuationSeparator/>
      </w:r>
    </w:p>
  </w:footnote>
  <w:footnote w:type="continuationNotice" w:id="1">
    <w:p w14:paraId="3E80A2FE" w14:textId="77777777" w:rsidR="00426060" w:rsidRDefault="00426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24BB" w14:textId="552944D5" w:rsidR="0031574F" w:rsidRDefault="00315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04CE" w14:textId="2B4274B9" w:rsidR="0031574F" w:rsidRDefault="00315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847CF" w14:textId="7D80E6F5" w:rsidR="0031574F" w:rsidRDefault="00315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5F26"/>
    <w:multiLevelType w:val="hybridMultilevel"/>
    <w:tmpl w:val="04DCCDE0"/>
    <w:lvl w:ilvl="0" w:tplc="6E08AD1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77057A"/>
    <w:multiLevelType w:val="hybridMultilevel"/>
    <w:tmpl w:val="574A26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F46CEE"/>
    <w:multiLevelType w:val="hybridMultilevel"/>
    <w:tmpl w:val="6D141276"/>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7E4C0F"/>
    <w:multiLevelType w:val="hybridMultilevel"/>
    <w:tmpl w:val="33E644C2"/>
    <w:lvl w:ilvl="0" w:tplc="FFFFFFFF">
      <w:start w:val="1"/>
      <w:numFmt w:val="decimal"/>
      <w:lvlText w:val="%1."/>
      <w:lvlJc w:val="left"/>
      <w:pPr>
        <w:ind w:left="720" w:hanging="360"/>
      </w:pPr>
      <w:rPr>
        <w:rFonts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1F3D95"/>
    <w:multiLevelType w:val="hybridMultilevel"/>
    <w:tmpl w:val="33E644C2"/>
    <w:lvl w:ilvl="0" w:tplc="FFFFFFFF">
      <w:start w:val="1"/>
      <w:numFmt w:val="decimal"/>
      <w:lvlText w:val="%1."/>
      <w:lvlJc w:val="left"/>
      <w:pPr>
        <w:ind w:left="720" w:hanging="360"/>
      </w:pPr>
      <w:rPr>
        <w:rFonts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466977"/>
    <w:multiLevelType w:val="multilevel"/>
    <w:tmpl w:val="83AE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F2BFC"/>
    <w:multiLevelType w:val="hybridMultilevel"/>
    <w:tmpl w:val="5650B36E"/>
    <w:lvl w:ilvl="0" w:tplc="004CA9CA">
      <w:start w:val="1"/>
      <w:numFmt w:val="decimal"/>
      <w:lvlText w:val="%1."/>
      <w:lvlJc w:val="left"/>
      <w:pPr>
        <w:ind w:left="720" w:hanging="360"/>
      </w:pPr>
      <w:rPr>
        <w:rFonts w:cstheme="minorBidi"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9B22B07"/>
    <w:multiLevelType w:val="hybridMultilevel"/>
    <w:tmpl w:val="DB606E6C"/>
    <w:lvl w:ilvl="0" w:tplc="C61EFC14">
      <w:start w:val="1"/>
      <w:numFmt w:val="bullet"/>
      <w:lvlText w:val=""/>
      <w:lvlJc w:val="left"/>
      <w:pPr>
        <w:ind w:left="720" w:hanging="360"/>
      </w:pPr>
      <w:rPr>
        <w:rFonts w:ascii="Symbol" w:hAnsi="Symbol"/>
      </w:rPr>
    </w:lvl>
    <w:lvl w:ilvl="1" w:tplc="30FC9DB0">
      <w:start w:val="1"/>
      <w:numFmt w:val="bullet"/>
      <w:lvlText w:val=""/>
      <w:lvlJc w:val="left"/>
      <w:pPr>
        <w:ind w:left="720" w:hanging="360"/>
      </w:pPr>
      <w:rPr>
        <w:rFonts w:ascii="Symbol" w:hAnsi="Symbol"/>
      </w:rPr>
    </w:lvl>
    <w:lvl w:ilvl="2" w:tplc="D0B2F0A6">
      <w:start w:val="1"/>
      <w:numFmt w:val="bullet"/>
      <w:lvlText w:val=""/>
      <w:lvlJc w:val="left"/>
      <w:pPr>
        <w:ind w:left="720" w:hanging="360"/>
      </w:pPr>
      <w:rPr>
        <w:rFonts w:ascii="Symbol" w:hAnsi="Symbol"/>
      </w:rPr>
    </w:lvl>
    <w:lvl w:ilvl="3" w:tplc="9192FA8E">
      <w:start w:val="1"/>
      <w:numFmt w:val="bullet"/>
      <w:lvlText w:val=""/>
      <w:lvlJc w:val="left"/>
      <w:pPr>
        <w:ind w:left="720" w:hanging="360"/>
      </w:pPr>
      <w:rPr>
        <w:rFonts w:ascii="Symbol" w:hAnsi="Symbol"/>
      </w:rPr>
    </w:lvl>
    <w:lvl w:ilvl="4" w:tplc="E64201B4">
      <w:start w:val="1"/>
      <w:numFmt w:val="bullet"/>
      <w:lvlText w:val=""/>
      <w:lvlJc w:val="left"/>
      <w:pPr>
        <w:ind w:left="720" w:hanging="360"/>
      </w:pPr>
      <w:rPr>
        <w:rFonts w:ascii="Symbol" w:hAnsi="Symbol"/>
      </w:rPr>
    </w:lvl>
    <w:lvl w:ilvl="5" w:tplc="BBA2B3A2">
      <w:start w:val="1"/>
      <w:numFmt w:val="bullet"/>
      <w:lvlText w:val=""/>
      <w:lvlJc w:val="left"/>
      <w:pPr>
        <w:ind w:left="720" w:hanging="360"/>
      </w:pPr>
      <w:rPr>
        <w:rFonts w:ascii="Symbol" w:hAnsi="Symbol"/>
      </w:rPr>
    </w:lvl>
    <w:lvl w:ilvl="6" w:tplc="C4BE483E">
      <w:start w:val="1"/>
      <w:numFmt w:val="bullet"/>
      <w:lvlText w:val=""/>
      <w:lvlJc w:val="left"/>
      <w:pPr>
        <w:ind w:left="720" w:hanging="360"/>
      </w:pPr>
      <w:rPr>
        <w:rFonts w:ascii="Symbol" w:hAnsi="Symbol"/>
      </w:rPr>
    </w:lvl>
    <w:lvl w:ilvl="7" w:tplc="E4C4B260">
      <w:start w:val="1"/>
      <w:numFmt w:val="bullet"/>
      <w:lvlText w:val=""/>
      <w:lvlJc w:val="left"/>
      <w:pPr>
        <w:ind w:left="720" w:hanging="360"/>
      </w:pPr>
      <w:rPr>
        <w:rFonts w:ascii="Symbol" w:hAnsi="Symbol"/>
      </w:rPr>
    </w:lvl>
    <w:lvl w:ilvl="8" w:tplc="99D2B0BA">
      <w:start w:val="1"/>
      <w:numFmt w:val="bullet"/>
      <w:lvlText w:val=""/>
      <w:lvlJc w:val="left"/>
      <w:pPr>
        <w:ind w:left="720" w:hanging="360"/>
      </w:pPr>
      <w:rPr>
        <w:rFonts w:ascii="Symbol" w:hAnsi="Symbol"/>
      </w:rPr>
    </w:lvl>
  </w:abstractNum>
  <w:abstractNum w:abstractNumId="8" w15:restartNumberingAfterBreak="0">
    <w:nsid w:val="3C6F2268"/>
    <w:multiLevelType w:val="hybridMultilevel"/>
    <w:tmpl w:val="9CDE99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63458AD"/>
    <w:multiLevelType w:val="multilevel"/>
    <w:tmpl w:val="3D6A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F00A28"/>
    <w:multiLevelType w:val="hybridMultilevel"/>
    <w:tmpl w:val="3B1ADC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5CBA12C4"/>
    <w:multiLevelType w:val="hybridMultilevel"/>
    <w:tmpl w:val="33E644C2"/>
    <w:lvl w:ilvl="0" w:tplc="0CC41B42">
      <w:start w:val="1"/>
      <w:numFmt w:val="decimal"/>
      <w:lvlText w:val="%1."/>
      <w:lvlJc w:val="left"/>
      <w:pPr>
        <w:ind w:left="720" w:hanging="360"/>
      </w:pPr>
      <w:rPr>
        <w:rFonts w:cstheme="minorBidi"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06867930">
    <w:abstractNumId w:val="2"/>
  </w:num>
  <w:num w:numId="2" w16cid:durableId="1077554355">
    <w:abstractNumId w:val="8"/>
  </w:num>
  <w:num w:numId="3" w16cid:durableId="898055570">
    <w:abstractNumId w:val="1"/>
  </w:num>
  <w:num w:numId="4" w16cid:durableId="1822037194">
    <w:abstractNumId w:val="11"/>
  </w:num>
  <w:num w:numId="5" w16cid:durableId="341248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9805528">
    <w:abstractNumId w:val="6"/>
  </w:num>
  <w:num w:numId="7" w16cid:durableId="2012759582">
    <w:abstractNumId w:val="7"/>
  </w:num>
  <w:num w:numId="8" w16cid:durableId="1482112255">
    <w:abstractNumId w:val="9"/>
  </w:num>
  <w:num w:numId="9" w16cid:durableId="1700887205">
    <w:abstractNumId w:val="5"/>
  </w:num>
  <w:num w:numId="10" w16cid:durableId="295070047">
    <w:abstractNumId w:val="4"/>
  </w:num>
  <w:num w:numId="11" w16cid:durableId="628511138">
    <w:abstractNumId w:val="3"/>
  </w:num>
  <w:num w:numId="12" w16cid:durableId="18980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1E"/>
    <w:rsid w:val="00003D64"/>
    <w:rsid w:val="0000457E"/>
    <w:rsid w:val="0001316E"/>
    <w:rsid w:val="00023E6B"/>
    <w:rsid w:val="00045B9B"/>
    <w:rsid w:val="00056137"/>
    <w:rsid w:val="00066E04"/>
    <w:rsid w:val="00070371"/>
    <w:rsid w:val="00084FE0"/>
    <w:rsid w:val="00093637"/>
    <w:rsid w:val="00096368"/>
    <w:rsid w:val="000C7279"/>
    <w:rsid w:val="000D1213"/>
    <w:rsid w:val="000D20DB"/>
    <w:rsid w:val="000D4EFE"/>
    <w:rsid w:val="000D5274"/>
    <w:rsid w:val="000F49BC"/>
    <w:rsid w:val="0011377E"/>
    <w:rsid w:val="001245C3"/>
    <w:rsid w:val="00125283"/>
    <w:rsid w:val="0012699D"/>
    <w:rsid w:val="00144E02"/>
    <w:rsid w:val="001718D4"/>
    <w:rsid w:val="001731D6"/>
    <w:rsid w:val="0018235F"/>
    <w:rsid w:val="00183C22"/>
    <w:rsid w:val="001856ED"/>
    <w:rsid w:val="001A59F8"/>
    <w:rsid w:val="001B6EA2"/>
    <w:rsid w:val="001C0753"/>
    <w:rsid w:val="001E7F92"/>
    <w:rsid w:val="001F3015"/>
    <w:rsid w:val="001F6DE1"/>
    <w:rsid w:val="002020C4"/>
    <w:rsid w:val="00205654"/>
    <w:rsid w:val="00210B3C"/>
    <w:rsid w:val="00211E92"/>
    <w:rsid w:val="002174C9"/>
    <w:rsid w:val="00235CA0"/>
    <w:rsid w:val="0024729C"/>
    <w:rsid w:val="00264FBD"/>
    <w:rsid w:val="00270782"/>
    <w:rsid w:val="0027431B"/>
    <w:rsid w:val="00284C8E"/>
    <w:rsid w:val="002878F0"/>
    <w:rsid w:val="00294A4C"/>
    <w:rsid w:val="002E3C0D"/>
    <w:rsid w:val="002E61E0"/>
    <w:rsid w:val="00304910"/>
    <w:rsid w:val="003125F5"/>
    <w:rsid w:val="0031334C"/>
    <w:rsid w:val="0031574F"/>
    <w:rsid w:val="003349EB"/>
    <w:rsid w:val="003461DC"/>
    <w:rsid w:val="00360A11"/>
    <w:rsid w:val="00360EF0"/>
    <w:rsid w:val="00361FBD"/>
    <w:rsid w:val="00370E07"/>
    <w:rsid w:val="00385BD4"/>
    <w:rsid w:val="003B1493"/>
    <w:rsid w:val="003B2F57"/>
    <w:rsid w:val="003B5026"/>
    <w:rsid w:val="003B5592"/>
    <w:rsid w:val="003B64D9"/>
    <w:rsid w:val="003D6B46"/>
    <w:rsid w:val="003F0397"/>
    <w:rsid w:val="004013A1"/>
    <w:rsid w:val="004109FE"/>
    <w:rsid w:val="004114C7"/>
    <w:rsid w:val="00413395"/>
    <w:rsid w:val="00426060"/>
    <w:rsid w:val="00426914"/>
    <w:rsid w:val="004438DF"/>
    <w:rsid w:val="00456CD7"/>
    <w:rsid w:val="00473BFC"/>
    <w:rsid w:val="00475F83"/>
    <w:rsid w:val="004862BE"/>
    <w:rsid w:val="00491F39"/>
    <w:rsid w:val="00492DF5"/>
    <w:rsid w:val="004B6291"/>
    <w:rsid w:val="004D3239"/>
    <w:rsid w:val="004D5742"/>
    <w:rsid w:val="00513E85"/>
    <w:rsid w:val="00521E15"/>
    <w:rsid w:val="00553911"/>
    <w:rsid w:val="00556DCE"/>
    <w:rsid w:val="005636DC"/>
    <w:rsid w:val="00580FB6"/>
    <w:rsid w:val="00582E40"/>
    <w:rsid w:val="005A0233"/>
    <w:rsid w:val="005B363A"/>
    <w:rsid w:val="005D3BEB"/>
    <w:rsid w:val="005D5950"/>
    <w:rsid w:val="005E06CF"/>
    <w:rsid w:val="005F1BB8"/>
    <w:rsid w:val="00613195"/>
    <w:rsid w:val="00657288"/>
    <w:rsid w:val="006612CB"/>
    <w:rsid w:val="0066523A"/>
    <w:rsid w:val="006668EB"/>
    <w:rsid w:val="0066690A"/>
    <w:rsid w:val="006706B4"/>
    <w:rsid w:val="00670F3F"/>
    <w:rsid w:val="00674062"/>
    <w:rsid w:val="00691D72"/>
    <w:rsid w:val="006948C8"/>
    <w:rsid w:val="006A7555"/>
    <w:rsid w:val="006A781C"/>
    <w:rsid w:val="006B27D8"/>
    <w:rsid w:val="006B524A"/>
    <w:rsid w:val="006C2371"/>
    <w:rsid w:val="006C26AB"/>
    <w:rsid w:val="006C5167"/>
    <w:rsid w:val="006C5580"/>
    <w:rsid w:val="006D7D91"/>
    <w:rsid w:val="006F1BD5"/>
    <w:rsid w:val="006F7547"/>
    <w:rsid w:val="007031C4"/>
    <w:rsid w:val="007057BF"/>
    <w:rsid w:val="00715EC8"/>
    <w:rsid w:val="007548D6"/>
    <w:rsid w:val="00760B13"/>
    <w:rsid w:val="00762FC1"/>
    <w:rsid w:val="007901F7"/>
    <w:rsid w:val="0079493C"/>
    <w:rsid w:val="007B5D30"/>
    <w:rsid w:val="007B6204"/>
    <w:rsid w:val="007C0AD8"/>
    <w:rsid w:val="007C18FD"/>
    <w:rsid w:val="007C3558"/>
    <w:rsid w:val="007E0B50"/>
    <w:rsid w:val="007E3A8D"/>
    <w:rsid w:val="007F4DC6"/>
    <w:rsid w:val="007F7305"/>
    <w:rsid w:val="00842652"/>
    <w:rsid w:val="008535F8"/>
    <w:rsid w:val="00864A38"/>
    <w:rsid w:val="00871D2E"/>
    <w:rsid w:val="00872A5B"/>
    <w:rsid w:val="008757EB"/>
    <w:rsid w:val="00876FA5"/>
    <w:rsid w:val="00884D52"/>
    <w:rsid w:val="008B5C58"/>
    <w:rsid w:val="008D6376"/>
    <w:rsid w:val="008E2D10"/>
    <w:rsid w:val="00901724"/>
    <w:rsid w:val="00914DED"/>
    <w:rsid w:val="009170C4"/>
    <w:rsid w:val="009222A7"/>
    <w:rsid w:val="009315F6"/>
    <w:rsid w:val="00952AB8"/>
    <w:rsid w:val="009635C9"/>
    <w:rsid w:val="00977AF7"/>
    <w:rsid w:val="00996625"/>
    <w:rsid w:val="009A049C"/>
    <w:rsid w:val="009A389E"/>
    <w:rsid w:val="009B32A5"/>
    <w:rsid w:val="009B72BB"/>
    <w:rsid w:val="009C5D25"/>
    <w:rsid w:val="009D148C"/>
    <w:rsid w:val="009D1804"/>
    <w:rsid w:val="009D2E87"/>
    <w:rsid w:val="009D3012"/>
    <w:rsid w:val="009E4D5E"/>
    <w:rsid w:val="009F2CDA"/>
    <w:rsid w:val="00A00F9B"/>
    <w:rsid w:val="00A01CCA"/>
    <w:rsid w:val="00A25830"/>
    <w:rsid w:val="00A31631"/>
    <w:rsid w:val="00A32E92"/>
    <w:rsid w:val="00A70977"/>
    <w:rsid w:val="00A74047"/>
    <w:rsid w:val="00A81E54"/>
    <w:rsid w:val="00A90D6D"/>
    <w:rsid w:val="00AB1CAE"/>
    <w:rsid w:val="00AC0D38"/>
    <w:rsid w:val="00AD2975"/>
    <w:rsid w:val="00B06019"/>
    <w:rsid w:val="00B12B13"/>
    <w:rsid w:val="00B14E6E"/>
    <w:rsid w:val="00B319A2"/>
    <w:rsid w:val="00B371CD"/>
    <w:rsid w:val="00B43697"/>
    <w:rsid w:val="00BA4A8A"/>
    <w:rsid w:val="00BD2C69"/>
    <w:rsid w:val="00BE5B05"/>
    <w:rsid w:val="00BF4D62"/>
    <w:rsid w:val="00BF7105"/>
    <w:rsid w:val="00C03170"/>
    <w:rsid w:val="00C03A5B"/>
    <w:rsid w:val="00C1324F"/>
    <w:rsid w:val="00C207DC"/>
    <w:rsid w:val="00C253DA"/>
    <w:rsid w:val="00C3281D"/>
    <w:rsid w:val="00C40BBC"/>
    <w:rsid w:val="00C446DE"/>
    <w:rsid w:val="00C448C0"/>
    <w:rsid w:val="00C51938"/>
    <w:rsid w:val="00C534F5"/>
    <w:rsid w:val="00C562C3"/>
    <w:rsid w:val="00C642A3"/>
    <w:rsid w:val="00C66758"/>
    <w:rsid w:val="00C67A90"/>
    <w:rsid w:val="00C740E9"/>
    <w:rsid w:val="00C81A64"/>
    <w:rsid w:val="00CB1373"/>
    <w:rsid w:val="00CF56D8"/>
    <w:rsid w:val="00CF7595"/>
    <w:rsid w:val="00D01CEE"/>
    <w:rsid w:val="00D26974"/>
    <w:rsid w:val="00D34466"/>
    <w:rsid w:val="00D4145D"/>
    <w:rsid w:val="00D5210A"/>
    <w:rsid w:val="00D530C8"/>
    <w:rsid w:val="00D5330D"/>
    <w:rsid w:val="00DA7956"/>
    <w:rsid w:val="00DB1C1A"/>
    <w:rsid w:val="00DD5F6E"/>
    <w:rsid w:val="00DE109F"/>
    <w:rsid w:val="00DE1D6B"/>
    <w:rsid w:val="00DE7953"/>
    <w:rsid w:val="00E23B68"/>
    <w:rsid w:val="00E23E6F"/>
    <w:rsid w:val="00E30A47"/>
    <w:rsid w:val="00E3364D"/>
    <w:rsid w:val="00E643F1"/>
    <w:rsid w:val="00E7209A"/>
    <w:rsid w:val="00E74727"/>
    <w:rsid w:val="00E86A1F"/>
    <w:rsid w:val="00E8775A"/>
    <w:rsid w:val="00E9006A"/>
    <w:rsid w:val="00E91F9E"/>
    <w:rsid w:val="00E9538B"/>
    <w:rsid w:val="00EB4CCF"/>
    <w:rsid w:val="00F0036C"/>
    <w:rsid w:val="00F04EFA"/>
    <w:rsid w:val="00F151D5"/>
    <w:rsid w:val="00F23E68"/>
    <w:rsid w:val="00F27532"/>
    <w:rsid w:val="00F30D59"/>
    <w:rsid w:val="00F369B4"/>
    <w:rsid w:val="00F36CE0"/>
    <w:rsid w:val="00F65067"/>
    <w:rsid w:val="00F6612D"/>
    <w:rsid w:val="00FA0C25"/>
    <w:rsid w:val="00FA4160"/>
    <w:rsid w:val="00FB6D1E"/>
    <w:rsid w:val="00FB7BD2"/>
    <w:rsid w:val="00FC54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6B2D0"/>
  <w15:chartTrackingRefBased/>
  <w15:docId w15:val="{7EF9E0F2-CE4A-49D8-8AFC-469FC98B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90A"/>
    <w:pPr>
      <w:ind w:left="720"/>
      <w:contextualSpacing/>
    </w:pPr>
  </w:style>
  <w:style w:type="character" w:styleId="Emphasis">
    <w:name w:val="Emphasis"/>
    <w:basedOn w:val="DefaultParagraphFont"/>
    <w:uiPriority w:val="20"/>
    <w:qFormat/>
    <w:rsid w:val="00235CA0"/>
    <w:rPr>
      <w:i/>
      <w:iCs/>
    </w:rPr>
  </w:style>
  <w:style w:type="character" w:styleId="CommentReference">
    <w:name w:val="annotation reference"/>
    <w:basedOn w:val="DefaultParagraphFont"/>
    <w:uiPriority w:val="99"/>
    <w:semiHidden/>
    <w:unhideWhenUsed/>
    <w:rsid w:val="00385BD4"/>
    <w:rPr>
      <w:sz w:val="16"/>
      <w:szCs w:val="16"/>
    </w:rPr>
  </w:style>
  <w:style w:type="paragraph" w:styleId="CommentText">
    <w:name w:val="annotation text"/>
    <w:basedOn w:val="Normal"/>
    <w:link w:val="CommentTextChar"/>
    <w:uiPriority w:val="99"/>
    <w:unhideWhenUsed/>
    <w:rsid w:val="00385BD4"/>
    <w:pPr>
      <w:spacing w:line="240" w:lineRule="auto"/>
    </w:pPr>
    <w:rPr>
      <w:sz w:val="20"/>
      <w:szCs w:val="20"/>
    </w:rPr>
  </w:style>
  <w:style w:type="character" w:customStyle="1" w:styleId="CommentTextChar">
    <w:name w:val="Comment Text Char"/>
    <w:basedOn w:val="DefaultParagraphFont"/>
    <w:link w:val="CommentText"/>
    <w:uiPriority w:val="99"/>
    <w:rsid w:val="00385BD4"/>
    <w:rPr>
      <w:sz w:val="20"/>
      <w:szCs w:val="20"/>
    </w:rPr>
  </w:style>
  <w:style w:type="paragraph" w:styleId="CommentSubject">
    <w:name w:val="annotation subject"/>
    <w:basedOn w:val="CommentText"/>
    <w:next w:val="CommentText"/>
    <w:link w:val="CommentSubjectChar"/>
    <w:uiPriority w:val="99"/>
    <w:semiHidden/>
    <w:unhideWhenUsed/>
    <w:rsid w:val="00385BD4"/>
    <w:rPr>
      <w:b/>
      <w:bCs/>
    </w:rPr>
  </w:style>
  <w:style w:type="character" w:customStyle="1" w:styleId="CommentSubjectChar">
    <w:name w:val="Comment Subject Char"/>
    <w:basedOn w:val="CommentTextChar"/>
    <w:link w:val="CommentSubject"/>
    <w:uiPriority w:val="99"/>
    <w:semiHidden/>
    <w:rsid w:val="00385BD4"/>
    <w:rPr>
      <w:b/>
      <w:bCs/>
      <w:sz w:val="20"/>
      <w:szCs w:val="20"/>
    </w:rPr>
  </w:style>
  <w:style w:type="paragraph" w:styleId="Revision">
    <w:name w:val="Revision"/>
    <w:hidden/>
    <w:uiPriority w:val="99"/>
    <w:semiHidden/>
    <w:rsid w:val="00B43697"/>
    <w:pPr>
      <w:spacing w:after="0" w:line="240" w:lineRule="auto"/>
    </w:pPr>
  </w:style>
  <w:style w:type="paragraph" w:customStyle="1" w:styleId="pf0">
    <w:name w:val="pf0"/>
    <w:basedOn w:val="Normal"/>
    <w:rsid w:val="0065728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cf01">
    <w:name w:val="cf01"/>
    <w:basedOn w:val="DefaultParagraphFont"/>
    <w:rsid w:val="00657288"/>
    <w:rPr>
      <w:rFonts w:ascii="Segoe UI" w:hAnsi="Segoe UI" w:cs="Segoe UI" w:hint="default"/>
      <w:sz w:val="18"/>
      <w:szCs w:val="18"/>
    </w:rPr>
  </w:style>
  <w:style w:type="paragraph" w:styleId="Header">
    <w:name w:val="header"/>
    <w:basedOn w:val="Normal"/>
    <w:link w:val="HeaderChar"/>
    <w:uiPriority w:val="99"/>
    <w:unhideWhenUsed/>
    <w:rsid w:val="00C81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A64"/>
  </w:style>
  <w:style w:type="paragraph" w:styleId="Footer">
    <w:name w:val="footer"/>
    <w:basedOn w:val="Normal"/>
    <w:link w:val="FooterChar"/>
    <w:uiPriority w:val="99"/>
    <w:unhideWhenUsed/>
    <w:rsid w:val="00C81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A64"/>
  </w:style>
  <w:style w:type="paragraph" w:styleId="NoSpacing">
    <w:name w:val="No Spacing"/>
    <w:uiPriority w:val="1"/>
    <w:qFormat/>
    <w:rsid w:val="00FB7BD2"/>
    <w:pPr>
      <w:spacing w:after="0" w:line="240" w:lineRule="auto"/>
    </w:pPr>
  </w:style>
  <w:style w:type="character" w:styleId="Hyperlink">
    <w:name w:val="Hyperlink"/>
    <w:basedOn w:val="DefaultParagraphFont"/>
    <w:uiPriority w:val="99"/>
    <w:semiHidden/>
    <w:unhideWhenUsed/>
    <w:rsid w:val="006740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8119">
      <w:bodyDiv w:val="1"/>
      <w:marLeft w:val="0"/>
      <w:marRight w:val="0"/>
      <w:marTop w:val="0"/>
      <w:marBottom w:val="0"/>
      <w:divBdr>
        <w:top w:val="none" w:sz="0" w:space="0" w:color="auto"/>
        <w:left w:val="none" w:sz="0" w:space="0" w:color="auto"/>
        <w:bottom w:val="none" w:sz="0" w:space="0" w:color="auto"/>
        <w:right w:val="none" w:sz="0" w:space="0" w:color="auto"/>
      </w:divBdr>
    </w:div>
    <w:div w:id="78526270">
      <w:bodyDiv w:val="1"/>
      <w:marLeft w:val="0"/>
      <w:marRight w:val="0"/>
      <w:marTop w:val="0"/>
      <w:marBottom w:val="0"/>
      <w:divBdr>
        <w:top w:val="none" w:sz="0" w:space="0" w:color="auto"/>
        <w:left w:val="none" w:sz="0" w:space="0" w:color="auto"/>
        <w:bottom w:val="none" w:sz="0" w:space="0" w:color="auto"/>
        <w:right w:val="none" w:sz="0" w:space="0" w:color="auto"/>
      </w:divBdr>
    </w:div>
    <w:div w:id="210842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1040</Words>
  <Characters>5932</Characters>
  <Application>Microsoft Office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6959</CharactersWithSpaces>
  <SharedDoc>false</SharedDoc>
  <HLinks>
    <vt:vector size="6" baseType="variant">
      <vt:variant>
        <vt:i4>1703943</vt:i4>
      </vt:variant>
      <vt:variant>
        <vt:i4>0</vt:i4>
      </vt:variant>
      <vt:variant>
        <vt:i4>0</vt:i4>
      </vt:variant>
      <vt:variant>
        <vt:i4>5</vt:i4>
      </vt:variant>
      <vt:variant>
        <vt:lpwstr>https://fra.europa.eu/en/eu-charter/article/51-field-application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Majella Votta</dc:creator>
  <cp:keywords/>
  <dc:description/>
  <cp:lastModifiedBy>Liis Lindström</cp:lastModifiedBy>
  <cp:revision>5</cp:revision>
  <dcterms:created xsi:type="dcterms:W3CDTF">2025-01-17T13:55:00Z</dcterms:created>
  <dcterms:modified xsi:type="dcterms:W3CDTF">2025-01-21T11:56:00Z</dcterms:modified>
</cp:coreProperties>
</file>